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2</w:t>
      </w:r>
    </w:p>
    <w:p>
      <w:pPr>
        <w:snapToGrid/>
        <w:spacing w:before="0" w:beforeAutospacing="0" w:after="0" w:afterAutospacing="0" w:line="240" w:lineRule="auto"/>
        <w:ind w:firstLine="880" w:firstLineChars="200"/>
        <w:jc w:val="center"/>
        <w:textAlignment w:val="baseline"/>
        <w:rPr>
          <w:rFonts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  <w:t>涪陵区人民医院宣传品设计制作招标评分表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554"/>
        <w:gridCol w:w="1626"/>
        <w:gridCol w:w="6741"/>
        <w:gridCol w:w="904"/>
        <w:gridCol w:w="922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序号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项目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分值分配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评  分 内 容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满分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评分</w:t>
            </w: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公司概况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5</w:t>
            </w:r>
          </w:p>
        </w:tc>
        <w:tc>
          <w:tcPr>
            <w:tcW w:w="6741" w:type="dxa"/>
            <w:vAlign w:val="center"/>
          </w:tcPr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公司证照齐全，有独立法人资格，综合性资源丰富（2分）；</w:t>
            </w:r>
          </w:p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2.人员规模组织结构（专业性，与医院需求的契合度）（3分）。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5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2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策划设计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20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1.整体方案思路清晰、有创意、切合主题，符合医院实际（10分）；</w:t>
            </w:r>
          </w:p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2.业绩经验评价（ 投标人近三年来类似合同业绩每提供1个得3分。投标人须提供合同原件或复印件第一和最后一页，复印件须加盖投标人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章，否则不得分)（10分）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20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3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制作水平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15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制作水平评价（往期作品作为参考）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15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4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价格指标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45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价格从低原则（综合考虑单价，同等质量下价格最低得45分；其余投标人根据契合度按次优 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3）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良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一般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差（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5-10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给予赋分。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45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售后服务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15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服务周期（制作时长及发货时长）及售后服务水平。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15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79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总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43B372"/>
    <w:multiLevelType w:val="singleLevel"/>
    <w:tmpl w:val="E643B3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163B6"/>
    <w:rsid w:val="32D1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2021-08-23T09:06:00Z</dcterms:created>
  <dc:creator>章美</dc:creator>
  <cp:lastModifiedBy>章美</cp:lastModifiedBy>
  <dcterms:modified xsi:type="dcterms:W3CDTF">2021-08-23T09:06:52Z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B779AF9E422449F0B56AEB47320D22F2</vt:lpwstr>
  </property>
</Properties>
</file>