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9F05B">
      <w:pPr>
        <w:spacing w:line="360" w:lineRule="auto"/>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附件2：采购文件</w:t>
      </w:r>
    </w:p>
    <w:p w14:paraId="0D018E14">
      <w:pPr>
        <w:widowControl/>
        <w:jc w:val="cente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14:textFill>
            <w14:solidFill>
              <w14:schemeClr w14:val="tx1"/>
            </w14:solidFill>
          </w14:textFill>
        </w:rPr>
        <w:t>供应商须知</w:t>
      </w:r>
    </w:p>
    <w:p w14:paraId="04AF047E">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根据重庆市涪陵区人民医院2025年信息化建设项目计划，重庆市涪陵区人民医院网络信息科拟对</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互联网+护理服务及延续性护理服务系统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进行采购，欢迎合格的供应商参加。</w:t>
      </w:r>
    </w:p>
    <w:p w14:paraId="74AAEDDE">
      <w:pPr>
        <w:widowControl/>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一、项目内容要求：详见采购公告</w:t>
      </w:r>
    </w:p>
    <w:p w14:paraId="3A6F3378">
      <w:pPr>
        <w:widowControl/>
        <w:shd w:val="clear" w:color="auto" w:fill="FFFFFF"/>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二、供应商资质要求：</w:t>
      </w:r>
    </w:p>
    <w:p w14:paraId="3085D227">
      <w:pPr>
        <w:snapToGrid w:val="0"/>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合格的供应商应具备承担采购项目的能力，符合《中华人民共和国政府采购法》第二十二条的规定。</w:t>
      </w:r>
    </w:p>
    <w:p w14:paraId="6CD5E62C">
      <w:pPr>
        <w:widowControl/>
        <w:ind w:firstLine="320" w:firstLineChars="1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（一）基本资质条件</w:t>
      </w:r>
    </w:p>
    <w:p w14:paraId="57BF2281">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1、需具有独立承担民事责任的能力或为独立承担民事责任的能力的总公司授权的分公司或分支机构；</w:t>
      </w:r>
    </w:p>
    <w:p w14:paraId="4ABF7F69">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2、营业执照、组织机构代码证、税务登记证或三证合一；</w:t>
      </w:r>
    </w:p>
    <w:p w14:paraId="5808FDC9">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3、具有良好的商业信誉；</w:t>
      </w:r>
    </w:p>
    <w:p w14:paraId="456274ED">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4、具有履行合同所必须的设备和专业技术能力；</w:t>
      </w:r>
    </w:p>
    <w:p w14:paraId="740E4026">
      <w:pPr>
        <w:widowControl/>
        <w:ind w:firstLine="640" w:firstLineChars="200"/>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5、近三年内在参加政府采购活动中无重大违法记录。</w:t>
      </w:r>
    </w:p>
    <w:p w14:paraId="36A89A6D">
      <w:pPr>
        <w:pStyle w:val="8"/>
        <w:ind w:firstLine="320" w:firstLineChars="1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（二）特定资格条件：</w:t>
      </w:r>
    </w:p>
    <w:p w14:paraId="53CAC9B7">
      <w:pPr>
        <w:pStyle w:val="8"/>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无</w:t>
      </w:r>
    </w:p>
    <w:p w14:paraId="462C9A68">
      <w:pPr>
        <w:snapToGrid w:val="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三、采购要求</w:t>
      </w:r>
    </w:p>
    <w:p w14:paraId="4C85573A">
      <w:pPr>
        <w:spacing w:line="288" w:lineRule="auto"/>
        <w:ind w:left="559" w:leftChars="266"/>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1、采购文件的组成</w:t>
      </w:r>
    </w:p>
    <w:p w14:paraId="62517FBA">
      <w:pPr>
        <w:snapToGrid w:val="0"/>
        <w:spacing w:line="4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响应文件由文末“响应文件编制要求”规定的部分和供应商所作的一切有效补充、修改和承诺等文件组成，供应商应按照“响应文件编制要求”规定的目录顺序组织编写和装订，也可在基本格式基础上对表格进行扩展，未规定格式的由供应商自定格式。</w:t>
      </w:r>
    </w:p>
    <w:p w14:paraId="73CFB4F2">
      <w:pPr>
        <w:pStyle w:val="18"/>
        <w:spacing w:line="240" w:lineRule="auto"/>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2、响应文件的制作</w:t>
      </w:r>
    </w:p>
    <w:p w14:paraId="0E22B33D">
      <w:pPr>
        <w:pStyle w:val="18"/>
        <w:spacing w:line="240" w:lineRule="auto"/>
        <w:ind w:firstLine="640"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（1）供应商须按以上采购文件组成内容编制响应文件，并编码装订成册。</w:t>
      </w:r>
    </w:p>
    <w:p w14:paraId="6F7C479E">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（2）响应文件的份数</w:t>
      </w:r>
    </w:p>
    <w:p w14:paraId="309CE1F2">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响应文件共三份，其中正本一份，副本两份，如正副本内容不符，以正本为准，副本可为正本的复印件。</w:t>
      </w:r>
    </w:p>
    <w:p w14:paraId="36D93FB0">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（3）响应文件的签署</w:t>
      </w:r>
    </w:p>
    <w:p w14:paraId="7C6EB4BB">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响应文件报价表应由法定代表人或授权代表签名并加盖公章。授权代表参与采购的需提供由法定代表人签字并加盖单位公章的授权委托书原件。</w:t>
      </w:r>
    </w:p>
    <w:p w14:paraId="59795CFA">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（4）响应文件的密封</w:t>
      </w:r>
    </w:p>
    <w:p w14:paraId="5812E167">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响应文件的正本、副本均应用档案袋密封。档案袋上注明项目名称、供应商名称和地址、“正本”、“副本”等字样。封口处须加盖供应商公章并由法定代表人（或授权代表）签字。</w:t>
      </w:r>
    </w:p>
    <w:p w14:paraId="36A58124">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四、成交原则</w:t>
      </w:r>
    </w:p>
    <w:p w14:paraId="647AC348">
      <w:pPr>
        <w:pStyle w:val="8"/>
        <w:ind w:firstLine="643" w:firstLineChars="200"/>
        <w:rPr>
          <w:rFonts w:hint="eastAsia" w:ascii="方正仿宋_GBK" w:hAnsi="方正仿宋_GBK" w:eastAsia="方正仿宋_GBK" w:cs="方正仿宋_GBK"/>
          <w:b/>
          <w:bCs/>
          <w:color w:val="000000" w:themeColor="text1"/>
          <w:kern w:val="0"/>
          <w:sz w:val="32"/>
          <w:szCs w:val="32"/>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u w:val="single"/>
          <w14:textFill>
            <w14:solidFill>
              <w14:schemeClr w14:val="tx1"/>
            </w14:solidFill>
          </w14:textFill>
        </w:rPr>
        <w:t>由采购小组对各投标人的投标文件进行评审，按照“综合评分法”的原则确定成交供应商。评审后得分由高到低顺序排列推荐综合得分排名第一的投标人为第一中标候选人；得分相同的，按技术指标优劣顺序排列。</w:t>
      </w:r>
    </w:p>
    <w:p w14:paraId="081C5B9A">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五、成交通知</w:t>
      </w:r>
    </w:p>
    <w:p w14:paraId="7AF0A0F2">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成交结果将发送成交通知书（书面）的形式告知成交供应商。</w:t>
      </w:r>
    </w:p>
    <w:p w14:paraId="7E40DA88">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六、质疑与答复</w:t>
      </w:r>
    </w:p>
    <w:p w14:paraId="5CDBE4AD">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1、供应商对成交结果有异议的，应当在成交公示期内以书面形式向重庆市涪陵区人民医院提出质疑，并附相关证明材料。</w:t>
      </w:r>
    </w:p>
    <w:p w14:paraId="69E9A49B">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2、质疑答复</w:t>
      </w:r>
    </w:p>
    <w:p w14:paraId="0DA6F0FC">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采购人将按照《重庆市政府采购供应商质疑投诉处理暂行规定》的相关规定对质疑内容作出答复和处理。</w:t>
      </w:r>
    </w:p>
    <w:p w14:paraId="7E4898ED">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七、合同签订</w:t>
      </w:r>
    </w:p>
    <w:p w14:paraId="50826FC5">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中标人在收到成交通知书20个工作日内与采购单位签订《项目合作协议》并同时签订《廉政合同》，合同内容应与《采购文件》的内容和要求一致，合同违约责任等其他未明确事项，由供需双方在合同中协商约定。20个工作日内未签订合同者视为自动放弃。</w:t>
      </w:r>
    </w:p>
    <w:p w14:paraId="19461155">
      <w:pPr>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2、若中标人放弃成交项目或不遵守投标承诺时，由重庆市涪陵区人民医院在中标候选人中按照评标得分排序依次确定中标人。原中标人三年内禁止参与重庆市涪陵区人民医院一切采购活动。</w:t>
      </w:r>
    </w:p>
    <w:p w14:paraId="6BBAD30F">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br w:type="page"/>
      </w:r>
    </w:p>
    <w:p w14:paraId="74D5F419">
      <w:pPr>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采购项目需求</w:t>
      </w:r>
    </w:p>
    <w:p w14:paraId="3D225412">
      <w:pPr>
        <w:adjustRightInd w:val="0"/>
        <w:snapToGrid w:val="0"/>
        <w:spacing w:line="360" w:lineRule="auto"/>
        <w:ind w:firstLine="643" w:firstLineChars="200"/>
        <w:rPr>
          <w:rFonts w:hint="eastAsia" w:asciiTheme="minorEastAsia" w:hAnsiTheme="minorEastAsia"/>
          <w:b/>
          <w:color w:val="000000" w:themeColor="text1"/>
          <w:sz w:val="32"/>
          <w:szCs w:val="32"/>
          <w14:textFill>
            <w14:solidFill>
              <w14:schemeClr w14:val="tx1"/>
            </w14:solidFill>
          </w14:textFill>
        </w:rPr>
      </w:pPr>
    </w:p>
    <w:p w14:paraId="7E1BEFE8">
      <w:pPr>
        <w:adjustRightInd w:val="0"/>
        <w:snapToGrid w:val="0"/>
        <w:spacing w:line="360" w:lineRule="auto"/>
        <w:ind w:firstLine="640" w:firstLineChars="20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一、项目目标</w:t>
      </w:r>
    </w:p>
    <w:p w14:paraId="2EED1C7A">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通过与专业第三方信息技术机构合作共建智能化护理服务平台，依托互联网、物联网等数字技术，打通医疗护理信息共享通道，优化护理人力资源配置与工作流程效能，重点构建"医院-社区-家庭"三位一体的连续性护理服务体系。通过线上线下协同服务模式，在现有临床护理基础上拓展延续性护理服务板块，涵盖居家护理、出院后随访、远程健康监测、个性化康复指导等全周期护理干预，形成覆盖孕产妇、慢性病患者、老年人群等重点人群的连续性照护机制。该平台将实现护理服务场景从院内治疗向社区健康管理、居家长期照护的有效延伸，构建覆盖全生命周期的连续性、无缝隙护理服务新模式，切实满足群众多层次、多样化的健康服务需求。</w:t>
      </w:r>
    </w:p>
    <w:p w14:paraId="3C36AA58">
      <w:pPr>
        <w:adjustRightInd w:val="0"/>
        <w:snapToGrid w:val="0"/>
        <w:spacing w:line="360" w:lineRule="auto"/>
        <w:ind w:firstLine="640" w:firstLineChars="20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二、项目建设模式</w:t>
      </w:r>
    </w:p>
    <w:p w14:paraId="2D1B5D4E">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采用技术项目合作方式，依托互联网信息技术平台，采取“线上申请、线下服务”及远程健康管理的模式，派出医院注册护士提供延续性护理服务，将护理服务从医院内延伸至社区、家庭。</w:t>
      </w:r>
    </w:p>
    <w:p w14:paraId="5595BCC6">
      <w:pPr>
        <w:adjustRightInd w:val="0"/>
        <w:snapToGrid w:val="0"/>
        <w:spacing w:line="360" w:lineRule="auto"/>
        <w:ind w:firstLine="640" w:firstLineChars="200"/>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color w:val="000000" w:themeColor="text1"/>
          <w:sz w:val="32"/>
          <w:szCs w:val="32"/>
          <w14:textFill>
            <w14:solidFill>
              <w14:schemeClr w14:val="tx1"/>
            </w14:solidFill>
          </w14:textFill>
        </w:rPr>
        <w:t>三、项目建设内容</w:t>
      </w:r>
    </w:p>
    <w:p w14:paraId="2F4A0F09">
      <w:pPr>
        <w:pStyle w:val="7"/>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p>
    <w:p w14:paraId="13351668">
      <w:pPr>
        <w:pStyle w:val="7"/>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p>
    <w:p w14:paraId="184E5DC6">
      <w:pPr>
        <w:pStyle w:val="7"/>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p>
    <w:p w14:paraId="10F67DD1">
      <w:pPr>
        <w:pStyle w:val="7"/>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（一）建设内容</w:t>
      </w:r>
    </w:p>
    <w:tbl>
      <w:tblPr>
        <w:tblStyle w:val="1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409"/>
        <w:gridCol w:w="6266"/>
      </w:tblGrid>
      <w:tr w14:paraId="7BC4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101" w:type="dxa"/>
            <w:shd w:val="clear" w:color="auto" w:fill="A8D08D"/>
          </w:tcPr>
          <w:p w14:paraId="0CED861B">
            <w:pPr>
              <w:jc w:val="center"/>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pPr>
            <w:r>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t>序号</w:t>
            </w:r>
          </w:p>
        </w:tc>
        <w:tc>
          <w:tcPr>
            <w:tcW w:w="2409" w:type="dxa"/>
            <w:shd w:val="clear" w:color="auto" w:fill="A8D08D"/>
          </w:tcPr>
          <w:p w14:paraId="24F383D6">
            <w:pPr>
              <w:ind w:firstLine="480"/>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pPr>
            <w:r>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t>建设内容</w:t>
            </w:r>
          </w:p>
        </w:tc>
        <w:tc>
          <w:tcPr>
            <w:tcW w:w="6266" w:type="dxa"/>
            <w:shd w:val="clear" w:color="auto" w:fill="A8D08D"/>
          </w:tcPr>
          <w:p w14:paraId="1B6C6CC7">
            <w:pPr>
              <w:ind w:firstLine="1690" w:firstLineChars="526"/>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pPr>
            <w:r>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t>主要模块</w:t>
            </w:r>
          </w:p>
        </w:tc>
      </w:tr>
      <w:tr w14:paraId="5F79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03357ED9">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1</w:t>
            </w:r>
          </w:p>
        </w:tc>
        <w:tc>
          <w:tcPr>
            <w:tcW w:w="2409" w:type="dxa"/>
            <w:shd w:val="clear" w:color="auto" w:fill="auto"/>
          </w:tcPr>
          <w:p w14:paraId="737503D4">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互联网+护理服务</w:t>
            </w:r>
          </w:p>
        </w:tc>
        <w:tc>
          <w:tcPr>
            <w:tcW w:w="6266" w:type="dxa"/>
            <w:shd w:val="clear" w:color="auto" w:fill="auto"/>
          </w:tcPr>
          <w:p w14:paraId="7A712341">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护理团队介绍、护理服务介绍、知情同意书确认、护理服务及耗材下单、护理人员接单、护理人员安全服务全流程记录</w:t>
            </w:r>
          </w:p>
        </w:tc>
      </w:tr>
      <w:tr w14:paraId="3DA6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6DECC78B">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2</w:t>
            </w:r>
          </w:p>
        </w:tc>
        <w:tc>
          <w:tcPr>
            <w:tcW w:w="2409" w:type="dxa"/>
            <w:shd w:val="clear" w:color="auto" w:fill="auto"/>
          </w:tcPr>
          <w:p w14:paraId="12018C89">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专病管理</w:t>
            </w:r>
          </w:p>
        </w:tc>
        <w:tc>
          <w:tcPr>
            <w:tcW w:w="6266" w:type="dxa"/>
            <w:shd w:val="clear" w:color="auto" w:fill="auto"/>
          </w:tcPr>
          <w:p w14:paraId="1A18CFC2">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文章、视频科普宣传、随访计划、监测计划制定、标准专病管理作业流程、阶段性评估、老年综合征评估、患者档案管理、管理工作任务</w:t>
            </w:r>
          </w:p>
        </w:tc>
      </w:tr>
      <w:tr w14:paraId="674D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32F823DD">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3</w:t>
            </w:r>
          </w:p>
        </w:tc>
        <w:tc>
          <w:tcPr>
            <w:tcW w:w="2409" w:type="dxa"/>
            <w:shd w:val="clear" w:color="auto" w:fill="auto"/>
          </w:tcPr>
          <w:p w14:paraId="66A4DC5A">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护理咨询</w:t>
            </w:r>
          </w:p>
        </w:tc>
        <w:tc>
          <w:tcPr>
            <w:tcW w:w="6266" w:type="dxa"/>
            <w:shd w:val="clear" w:color="auto" w:fill="auto"/>
          </w:tcPr>
          <w:p w14:paraId="0EACCC3D">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多对一群聊咨询、专业护理咨询</w:t>
            </w:r>
          </w:p>
        </w:tc>
      </w:tr>
      <w:tr w14:paraId="2F39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7A3F6C2C">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4</w:t>
            </w:r>
          </w:p>
        </w:tc>
        <w:tc>
          <w:tcPr>
            <w:tcW w:w="2409" w:type="dxa"/>
            <w:shd w:val="clear" w:color="auto" w:fill="auto"/>
          </w:tcPr>
          <w:p w14:paraId="6CE03795">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专业量表评估系统</w:t>
            </w:r>
          </w:p>
        </w:tc>
        <w:tc>
          <w:tcPr>
            <w:tcW w:w="6266" w:type="dxa"/>
            <w:shd w:val="clear" w:color="auto" w:fill="auto"/>
          </w:tcPr>
          <w:p w14:paraId="6C93B137">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患者量表自我筛查评估、专业护理量表评估</w:t>
            </w:r>
          </w:p>
        </w:tc>
      </w:tr>
      <w:tr w14:paraId="7964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49605CA2">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5</w:t>
            </w:r>
          </w:p>
        </w:tc>
        <w:tc>
          <w:tcPr>
            <w:tcW w:w="2409" w:type="dxa"/>
            <w:shd w:val="clear" w:color="auto" w:fill="auto"/>
          </w:tcPr>
          <w:p w14:paraId="78705DFB">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互联网+护理服务质控系统</w:t>
            </w:r>
          </w:p>
        </w:tc>
        <w:tc>
          <w:tcPr>
            <w:tcW w:w="6266" w:type="dxa"/>
            <w:shd w:val="clear" w:color="auto" w:fill="auto"/>
          </w:tcPr>
          <w:p w14:paraId="57EADCDB">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质控记录</w:t>
            </w:r>
          </w:p>
        </w:tc>
      </w:tr>
      <w:tr w14:paraId="736C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0B4A4CC0">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6</w:t>
            </w:r>
          </w:p>
        </w:tc>
        <w:tc>
          <w:tcPr>
            <w:tcW w:w="2409" w:type="dxa"/>
            <w:shd w:val="clear" w:color="auto" w:fill="auto"/>
          </w:tcPr>
          <w:p w14:paraId="05C11025">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护理服务监控服务中心</w:t>
            </w:r>
          </w:p>
        </w:tc>
        <w:tc>
          <w:tcPr>
            <w:tcW w:w="6266" w:type="dxa"/>
            <w:shd w:val="clear" w:color="auto" w:fill="auto"/>
          </w:tcPr>
          <w:p w14:paraId="68A12469">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基础业务数据看板、用户数据看板、患者地理位置分布、管理信息看板、各社区关键数据看板、预警系统提示</w:t>
            </w:r>
          </w:p>
        </w:tc>
      </w:tr>
      <w:tr w14:paraId="10E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01" w:type="dxa"/>
            <w:shd w:val="clear" w:color="auto" w:fill="auto"/>
          </w:tcPr>
          <w:p w14:paraId="15FD2C91">
            <w:pPr>
              <w:ind w:firstLine="480"/>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7</w:t>
            </w:r>
          </w:p>
        </w:tc>
        <w:tc>
          <w:tcPr>
            <w:tcW w:w="2409" w:type="dxa"/>
            <w:shd w:val="clear" w:color="auto" w:fill="auto"/>
          </w:tcPr>
          <w:p w14:paraId="7E6E9D09">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组织管理</w:t>
            </w:r>
          </w:p>
        </w:tc>
        <w:tc>
          <w:tcPr>
            <w:tcW w:w="6266" w:type="dxa"/>
            <w:shd w:val="clear" w:color="auto" w:fill="auto"/>
          </w:tcPr>
          <w:p w14:paraId="382ACA90">
            <w:pPr>
              <w:jc w:val="left"/>
              <w:rPr>
                <w:rStyle w:val="19"/>
                <w:rFonts w:hint="eastAsia" w:ascii="方正仿宋_GBK" w:hAnsi="方正仿宋_GBK" w:eastAsia="方正仿宋_GBK" w:cs="方正仿宋_GBK"/>
                <w:color w:val="000000" w:themeColor="text1"/>
                <w:sz w:val="24"/>
                <w14:textFill>
                  <w14:solidFill>
                    <w14:schemeClr w14:val="tx1"/>
                  </w14:solidFill>
                </w14:textFill>
              </w:rPr>
            </w:pPr>
            <w:r>
              <w:rPr>
                <w:rStyle w:val="19"/>
                <w:rFonts w:hint="eastAsia" w:ascii="方正仿宋_GBK" w:hAnsi="方正仿宋_GBK" w:eastAsia="方正仿宋_GBK" w:cs="方正仿宋_GBK"/>
                <w:color w:val="000000" w:themeColor="text1"/>
                <w:sz w:val="24"/>
                <w14:textFill>
                  <w14:solidFill>
                    <w14:schemeClr w14:val="tx1"/>
                  </w14:solidFill>
                </w14:textFill>
              </w:rPr>
              <w:t>业务数据看板、角色权限管理</w:t>
            </w:r>
          </w:p>
        </w:tc>
      </w:tr>
    </w:tbl>
    <w:p w14:paraId="1307D54B">
      <w:pPr>
        <w:ind w:firstLine="482"/>
        <w:rPr>
          <w:rStyle w:val="19"/>
          <w:rFonts w:hint="eastAsia" w:cs="宋体" w:asciiTheme="minorEastAsia" w:hAnsiTheme="minorEastAsia"/>
          <w:b/>
          <w:bCs/>
          <w:color w:val="000000" w:themeColor="text1"/>
          <w:sz w:val="24"/>
          <w14:textFill>
            <w14:solidFill>
              <w14:schemeClr w14:val="tx1"/>
            </w14:solidFill>
          </w14:textFill>
        </w:rPr>
      </w:pPr>
    </w:p>
    <w:p w14:paraId="4D0F40E5">
      <w:pPr>
        <w:ind w:firstLine="482"/>
        <w:rPr>
          <w:rStyle w:val="19"/>
          <w:rFonts w:cs="宋体" w:asciiTheme="minorEastAsia" w:hAnsiTheme="minorEastAsia"/>
          <w:b/>
          <w:bCs/>
          <w:color w:val="000000" w:themeColor="text1"/>
          <w:sz w:val="24"/>
          <w14:textFill>
            <w14:solidFill>
              <w14:schemeClr w14:val="tx1"/>
            </w14:solidFill>
          </w14:textFill>
        </w:rPr>
      </w:pPr>
      <w:r>
        <w:rPr>
          <w:rStyle w:val="19"/>
          <w:rFonts w:hint="eastAsia" w:cs="宋体" w:asciiTheme="minorEastAsia" w:hAnsiTheme="minorEastAsia"/>
          <w:b/>
          <w:bCs/>
          <w:color w:val="000000" w:themeColor="text1"/>
          <w:sz w:val="24"/>
          <w14:textFill>
            <w14:solidFill>
              <w14:schemeClr w14:val="tx1"/>
            </w14:solidFill>
          </w14:textFill>
        </w:rPr>
        <w:t>注：建设内容包括但不限于以上主要模块，具体建设内容以医院实际需求为准。</w:t>
      </w:r>
    </w:p>
    <w:p w14:paraId="5F19B568">
      <w:pPr>
        <w:pStyle w:val="7"/>
        <w:rPr>
          <w:rFonts w:asciiTheme="minorEastAsia" w:hAnsiTheme="minorEastAsia" w:eastAsiaTheme="minorEastAsia"/>
          <w:color w:val="000000" w:themeColor="text1"/>
          <w14:textFill>
            <w14:solidFill>
              <w14:schemeClr w14:val="tx1"/>
            </w14:solidFill>
          </w14:textFill>
        </w:rPr>
      </w:pPr>
    </w:p>
    <w:p w14:paraId="0D4A64D3">
      <w:pPr>
        <w:jc w:val="center"/>
        <w:rPr>
          <w:rStyle w:val="19"/>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（二）主要功能技术要</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求</w:t>
      </w:r>
      <w:r>
        <w:rPr>
          <w:rStyle w:val="19"/>
          <w:rFonts w:hint="eastAsia" w:ascii="方正仿宋_GBK" w:hAnsi="方正仿宋_GBK" w:eastAsia="方正仿宋_GBK" w:cs="方正仿宋_GBK"/>
          <w:b w:val="0"/>
          <w:bCs w:val="0"/>
          <w:color w:val="000000" w:themeColor="text1"/>
          <w:sz w:val="32"/>
          <w:szCs w:val="32"/>
          <w14:textFill>
            <w14:solidFill>
              <w14:schemeClr w14:val="tx1"/>
            </w14:solidFill>
          </w14:textFill>
        </w:rPr>
        <w:t>清单</w:t>
      </w:r>
    </w:p>
    <w:tbl>
      <w:tblPr>
        <w:tblStyle w:val="15"/>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445"/>
        <w:gridCol w:w="6505"/>
      </w:tblGrid>
      <w:tr w14:paraId="26C2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18" w:type="dxa"/>
            <w:shd w:val="clear" w:color="auto" w:fill="A8D08D"/>
            <w:vAlign w:val="center"/>
          </w:tcPr>
          <w:p w14:paraId="71534965">
            <w:pPr>
              <w:jc w:val="cente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pPr>
            <w: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t>功能主模块</w:t>
            </w:r>
          </w:p>
        </w:tc>
        <w:tc>
          <w:tcPr>
            <w:tcW w:w="1445" w:type="dxa"/>
            <w:shd w:val="clear" w:color="auto" w:fill="A8D08D"/>
            <w:vAlign w:val="center"/>
          </w:tcPr>
          <w:p w14:paraId="717B9FF7">
            <w:pPr>
              <w:jc w:val="cente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pPr>
            <w: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t>功能子模块</w:t>
            </w:r>
          </w:p>
        </w:tc>
        <w:tc>
          <w:tcPr>
            <w:tcW w:w="6505" w:type="dxa"/>
            <w:shd w:val="clear" w:color="auto" w:fill="A8D08D"/>
            <w:vAlign w:val="center"/>
          </w:tcPr>
          <w:p w14:paraId="4298986B">
            <w:pPr>
              <w:jc w:val="cente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pPr>
            <w:r>
              <w:rPr>
                <w:rStyle w:val="19"/>
                <w:rFonts w:hint="eastAsia" w:ascii="方正仿宋_GBK" w:hAnsi="方正仿宋_GBK" w:eastAsia="方正仿宋_GBK" w:cs="方正仿宋_GBK"/>
                <w:b/>
                <w:bCs/>
                <w:color w:val="000000" w:themeColor="text1"/>
                <w:sz w:val="28"/>
                <w:szCs w:val="28"/>
                <w14:textFill>
                  <w14:solidFill>
                    <w14:schemeClr w14:val="tx1"/>
                  </w14:solidFill>
                </w14:textFill>
              </w:rPr>
              <w:t>技术功能参数要求</w:t>
            </w:r>
          </w:p>
        </w:tc>
      </w:tr>
      <w:tr w14:paraId="6D76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5CD22853">
            <w:pPr>
              <w:pStyle w:val="20"/>
              <w:adjustRightInd w:val="0"/>
              <w:snapToGrid w:val="0"/>
              <w:spacing w:before="163" w:after="163" w:line="273"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互联网+护理服务</w:t>
            </w:r>
          </w:p>
        </w:tc>
        <w:tc>
          <w:tcPr>
            <w:tcW w:w="1445" w:type="dxa"/>
            <w:shd w:val="clear" w:color="auto" w:fill="auto"/>
            <w:vAlign w:val="center"/>
          </w:tcPr>
          <w:p w14:paraId="64073DEC">
            <w:pPr>
              <w:pStyle w:val="20"/>
              <w:adjustRightInd w:val="0"/>
              <w:snapToGrid w:val="0"/>
              <w:spacing w:before="163" w:after="163" w:line="273"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护理团队介绍</w:t>
            </w:r>
          </w:p>
        </w:tc>
        <w:tc>
          <w:tcPr>
            <w:tcW w:w="6505" w:type="dxa"/>
            <w:shd w:val="clear" w:color="auto" w:fill="auto"/>
            <w:vAlign w:val="center"/>
          </w:tcPr>
          <w:p w14:paraId="1E22E3A3">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可对每个中心进行单独介绍；</w:t>
            </w:r>
          </w:p>
          <w:p w14:paraId="0E12002D">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可查看每个中心护理服务人员的头像、简介、擅长等信息</w:t>
            </w:r>
          </w:p>
        </w:tc>
      </w:tr>
      <w:tr w14:paraId="5F5F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781C43AF">
            <w:pPr>
              <w:pStyle w:val="20"/>
              <w:adjustRightInd w:val="0"/>
              <w:snapToGrid w:val="0"/>
              <w:spacing w:before="163" w:after="163" w:line="273" w:lineRule="exact"/>
              <w:ind w:firstLine="416"/>
              <w:jc w:val="center"/>
              <w:rPr>
                <w:rFonts w:cs="宋体" w:asciiTheme="minorEastAsia" w:hAnsiTheme="minorEastAsia" w:eastAsiaTheme="minorEastAsia"/>
                <w:color w:val="000000" w:themeColor="text1"/>
                <w:spacing w:val="-1"/>
                <w:sz w:val="24"/>
                <w:szCs w:val="24"/>
                <w:lang w:eastAsia="zh-CN"/>
                <w14:textFill>
                  <w14:solidFill>
                    <w14:schemeClr w14:val="tx1"/>
                  </w14:solidFill>
                </w14:textFill>
              </w:rPr>
            </w:pPr>
          </w:p>
        </w:tc>
        <w:tc>
          <w:tcPr>
            <w:tcW w:w="1445" w:type="dxa"/>
            <w:shd w:val="clear" w:color="auto" w:fill="auto"/>
            <w:vAlign w:val="center"/>
          </w:tcPr>
          <w:p w14:paraId="1ACA2FD2">
            <w:pPr>
              <w:pStyle w:val="20"/>
              <w:adjustRightInd w:val="0"/>
              <w:snapToGrid w:val="0"/>
              <w:spacing w:before="163" w:after="163" w:line="273" w:lineRule="exact"/>
              <w:rPr>
                <w:rFonts w:cs="宋体" w:asciiTheme="minorEastAsia" w:hAnsiTheme="minorEastAsia" w:eastAsiaTheme="minorEastAsia"/>
                <w:color w:val="000000" w:themeColor="text1"/>
                <w:spacing w:val="-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pacing w:val="-1"/>
                <w:sz w:val="24"/>
                <w:szCs w:val="24"/>
                <w:lang w:eastAsia="zh-CN"/>
                <w14:textFill>
                  <w14:solidFill>
                    <w14:schemeClr w14:val="tx1"/>
                  </w14:solidFill>
                </w14:textFill>
              </w:rPr>
              <w:t>护理服务介绍</w:t>
            </w:r>
          </w:p>
        </w:tc>
        <w:tc>
          <w:tcPr>
            <w:tcW w:w="6505" w:type="dxa"/>
            <w:shd w:val="clear" w:color="auto" w:fill="auto"/>
            <w:vAlign w:val="center"/>
          </w:tcPr>
          <w:p w14:paraId="7E8FCC38">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可对护理服务进行分类、搜索查询以及查看服务详情介绍；</w:t>
            </w:r>
          </w:p>
          <w:p w14:paraId="09F61CF5">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可对每个中心的服务进行分享、客服咨询以及生成分享海报</w:t>
            </w:r>
          </w:p>
        </w:tc>
      </w:tr>
      <w:tr w14:paraId="2CD4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718" w:type="dxa"/>
            <w:vMerge w:val="continue"/>
          </w:tcPr>
          <w:p w14:paraId="0B45AF12">
            <w:pPr>
              <w:pStyle w:val="20"/>
              <w:adjustRightInd w:val="0"/>
              <w:snapToGrid w:val="0"/>
              <w:spacing w:before="163" w:after="163" w:line="275" w:lineRule="exact"/>
              <w:ind w:firstLine="420"/>
              <w:jc w:val="center"/>
              <w:rPr>
                <w:rFonts w:cs="宋体" w:asciiTheme="minorEastAsia" w:hAnsiTheme="minorEastAsia" w:eastAsiaTheme="minorEastAsia"/>
                <w:color w:val="000000" w:themeColor="text1"/>
                <w:sz w:val="24"/>
                <w:szCs w:val="24"/>
                <w:lang w:eastAsia="zh-CN"/>
                <w14:textFill>
                  <w14:solidFill>
                    <w14:schemeClr w14:val="tx1"/>
                  </w14:solidFill>
                </w14:textFill>
              </w:rPr>
            </w:pPr>
          </w:p>
        </w:tc>
        <w:tc>
          <w:tcPr>
            <w:tcW w:w="1445" w:type="dxa"/>
            <w:shd w:val="clear" w:color="auto" w:fill="auto"/>
            <w:vAlign w:val="center"/>
          </w:tcPr>
          <w:p w14:paraId="1076D8A8">
            <w:pPr>
              <w:pStyle w:val="20"/>
              <w:adjustRightInd w:val="0"/>
              <w:snapToGrid w:val="0"/>
              <w:spacing w:before="163" w:after="163" w:line="275" w:lineRule="exact"/>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*知情同意书确认</w:t>
            </w:r>
          </w:p>
        </w:tc>
        <w:tc>
          <w:tcPr>
            <w:tcW w:w="6505" w:type="dxa"/>
            <w:shd w:val="clear" w:color="auto" w:fill="auto"/>
            <w:vAlign w:val="center"/>
          </w:tcPr>
          <w:p w14:paraId="3C16860C">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每个护理服务可设置不同的知情同意书；</w:t>
            </w:r>
          </w:p>
          <w:p w14:paraId="4ADD47EF">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患者购买护理服务前必须进行知情同意书确认后才能进行购买；</w:t>
            </w:r>
          </w:p>
        </w:tc>
      </w:tr>
      <w:tr w14:paraId="2EB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6933E4CF">
            <w:pPr>
              <w:pStyle w:val="20"/>
              <w:adjustRightInd w:val="0"/>
              <w:snapToGrid w:val="0"/>
              <w:spacing w:before="163" w:after="163" w:line="275" w:lineRule="exact"/>
              <w:ind w:firstLine="420"/>
              <w:jc w:val="center"/>
              <w:rPr>
                <w:rFonts w:cs="宋体" w:asciiTheme="minorEastAsia" w:hAnsiTheme="minorEastAsia" w:eastAsiaTheme="minorEastAsia"/>
                <w:color w:val="000000" w:themeColor="text1"/>
                <w:sz w:val="24"/>
                <w:szCs w:val="24"/>
                <w:lang w:eastAsia="zh-CN"/>
                <w14:textFill>
                  <w14:solidFill>
                    <w14:schemeClr w14:val="tx1"/>
                  </w14:solidFill>
                </w14:textFill>
              </w:rPr>
            </w:pPr>
          </w:p>
        </w:tc>
        <w:tc>
          <w:tcPr>
            <w:tcW w:w="1445" w:type="dxa"/>
            <w:vAlign w:val="center"/>
          </w:tcPr>
          <w:p w14:paraId="4E8A6A05">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*护理服务及耗材下单</w:t>
            </w:r>
          </w:p>
        </w:tc>
        <w:tc>
          <w:tcPr>
            <w:tcW w:w="6505" w:type="dxa"/>
            <w:vAlign w:val="center"/>
          </w:tcPr>
          <w:p w14:paraId="20021911">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下单耗材时不需要再进行接单但须提醒接单的人该用户的下单通知；</w:t>
            </w:r>
          </w:p>
          <w:p w14:paraId="2FFB5137">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护理服务下单时须确定就诊人；</w:t>
            </w:r>
          </w:p>
          <w:p w14:paraId="1062A920">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交通费可根据企业打车自动计算费用；</w:t>
            </w:r>
          </w:p>
          <w:p w14:paraId="3A347605">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可每隔半小时选择预约护理服务的时间及查看最近一月的可预约情况；</w:t>
            </w:r>
          </w:p>
          <w:p w14:paraId="337AA0BA">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可使用服务卡支付订单，服务卡可通过下单自动发放；</w:t>
            </w:r>
          </w:p>
        </w:tc>
      </w:tr>
      <w:tr w14:paraId="58BC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47679704">
            <w:pPr>
              <w:pStyle w:val="20"/>
              <w:adjustRightInd w:val="0"/>
              <w:snapToGrid w:val="0"/>
              <w:spacing w:before="163" w:after="163" w:line="275" w:lineRule="exact"/>
              <w:ind w:firstLine="420"/>
              <w:jc w:val="center"/>
              <w:rPr>
                <w:rFonts w:cs="宋体" w:asciiTheme="minorEastAsia" w:hAnsiTheme="minorEastAsia" w:eastAsiaTheme="minorEastAsia"/>
                <w:color w:val="000000" w:themeColor="text1"/>
                <w:sz w:val="24"/>
                <w:szCs w:val="24"/>
                <w:lang w:eastAsia="zh-CN"/>
                <w14:textFill>
                  <w14:solidFill>
                    <w14:schemeClr w14:val="tx1"/>
                  </w14:solidFill>
                </w14:textFill>
              </w:rPr>
            </w:pPr>
          </w:p>
        </w:tc>
        <w:tc>
          <w:tcPr>
            <w:tcW w:w="1445" w:type="dxa"/>
            <w:vAlign w:val="center"/>
          </w:tcPr>
          <w:p w14:paraId="50ED8D87">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*护理人员接单</w:t>
            </w:r>
          </w:p>
        </w:tc>
        <w:tc>
          <w:tcPr>
            <w:tcW w:w="6505" w:type="dxa"/>
            <w:vAlign w:val="center"/>
          </w:tcPr>
          <w:p w14:paraId="78188E46">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护理人员须及时接收订单消息；</w:t>
            </w:r>
          </w:p>
          <w:p w14:paraId="0532C522">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订单可进行抢单或指定人接单两种模式；</w:t>
            </w:r>
          </w:p>
          <w:p w14:paraId="5C21A9ED">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订单支持转发订单给他人，包括可提供服务的所有社区的护理人员；</w:t>
            </w:r>
          </w:p>
          <w:p w14:paraId="645195FA">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接单时须展示患者的护理服务次数及基本信息以及所属社区；</w:t>
            </w:r>
          </w:p>
          <w:p w14:paraId="0872A35B">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5.</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可分类查看可接单的护理服务；</w:t>
            </w:r>
          </w:p>
          <w:p w14:paraId="5CFC143A">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护理人员可查看本月的接单销售额及接单量；</w:t>
            </w:r>
          </w:p>
          <w:p w14:paraId="2592C104">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可实时查看所属团队的公告通知；</w:t>
            </w:r>
          </w:p>
          <w:p w14:paraId="08AD6742">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8.</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护理人员接单后可修改上门护理时间并短信通知患者；</w:t>
            </w:r>
          </w:p>
          <w:p w14:paraId="3ABD7C8F">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9.</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护理人员接单后可取消订单并进行退款操作；</w:t>
            </w:r>
          </w:p>
        </w:tc>
      </w:tr>
      <w:tr w14:paraId="1407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2A61DD98">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62E5139B">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lang w:eastAsia="zh-CN"/>
                <w14:textFill>
                  <w14:solidFill>
                    <w14:schemeClr w14:val="tx1"/>
                  </w14:solidFill>
                </w14:textFill>
              </w:rPr>
              <w:t>护理人员安全服务全流程记录</w:t>
            </w:r>
          </w:p>
        </w:tc>
        <w:tc>
          <w:tcPr>
            <w:tcW w:w="6505" w:type="dxa"/>
            <w:vAlign w:val="center"/>
          </w:tcPr>
          <w:p w14:paraId="11756942">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可对每一次护理服务的行程轨迹、打车轨迹、录音进行实时记录和查看，同时提供一键紧急呼救功能</w:t>
            </w:r>
          </w:p>
        </w:tc>
      </w:tr>
      <w:tr w14:paraId="78CB4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465412D4">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bookmarkStart w:id="0" w:name="_Toc14797"/>
            <w:r>
              <w:rPr>
                <w:rStyle w:val="19"/>
                <w:rFonts w:hint="eastAsia" w:cs="宋体" w:asciiTheme="minorEastAsia" w:hAnsiTheme="minorEastAsia" w:eastAsiaTheme="minorEastAsia"/>
                <w:color w:val="000000" w:themeColor="text1"/>
                <w:sz w:val="24"/>
                <w14:textFill>
                  <w14:solidFill>
                    <w14:schemeClr w14:val="tx1"/>
                  </w14:solidFill>
                </w14:textFill>
              </w:rPr>
              <w:t>专病管理</w:t>
            </w:r>
          </w:p>
        </w:tc>
        <w:tc>
          <w:tcPr>
            <w:tcW w:w="1445" w:type="dxa"/>
            <w:vAlign w:val="center"/>
          </w:tcPr>
          <w:p w14:paraId="5FB35433">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文章、视频科普宣传</w:t>
            </w:r>
          </w:p>
        </w:tc>
        <w:tc>
          <w:tcPr>
            <w:tcW w:w="6505" w:type="dxa"/>
            <w:vAlign w:val="center"/>
          </w:tcPr>
          <w:p w14:paraId="63F6BC6A">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支持自定义文章上传、快捷上传公众号文章、视频号内容进行科普宣教；</w:t>
            </w:r>
          </w:p>
          <w:p w14:paraId="0189CD46">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每个社区可针对自己的社区设置宣传的文章、视频内容进行设置和展示；</w:t>
            </w:r>
          </w:p>
        </w:tc>
      </w:tr>
      <w:tr w14:paraId="79B81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2F34E739">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7D34F90B">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随访计划</w:t>
            </w:r>
          </w:p>
        </w:tc>
        <w:tc>
          <w:tcPr>
            <w:tcW w:w="6505" w:type="dxa"/>
            <w:vAlign w:val="center"/>
          </w:tcPr>
          <w:p w14:paraId="59452396">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可对患者制定随访计划推送随访内容包括量表及问卷形式的随访内容；</w:t>
            </w:r>
          </w:p>
          <w:p w14:paraId="1B8F4788">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可按时间选择或立即进行推送，由系统自动触发随访任务；</w:t>
            </w:r>
          </w:p>
          <w:p w14:paraId="30427870">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可以监测随访任务的完成情况；</w:t>
            </w:r>
          </w:p>
        </w:tc>
      </w:tr>
      <w:tr w14:paraId="623EC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4CDA8CD0">
            <w:pPr>
              <w:pStyle w:val="20"/>
              <w:adjustRightInd w:val="0"/>
              <w:snapToGrid w:val="0"/>
              <w:spacing w:before="163" w:after="163" w:line="275" w:lineRule="exact"/>
              <w:ind w:firstLine="420"/>
              <w:jc w:val="center"/>
              <w:rPr>
                <w:rFonts w:cs="宋体" w:asciiTheme="minorEastAsia" w:hAnsiTheme="minorEastAsia" w:eastAsiaTheme="minorEastAsia"/>
                <w:color w:val="000000" w:themeColor="text1"/>
                <w:sz w:val="24"/>
                <w:szCs w:val="24"/>
                <w:lang w:eastAsia="zh-CN"/>
                <w14:textFill>
                  <w14:solidFill>
                    <w14:schemeClr w14:val="tx1"/>
                  </w14:solidFill>
                </w14:textFill>
              </w:rPr>
            </w:pPr>
          </w:p>
        </w:tc>
        <w:tc>
          <w:tcPr>
            <w:tcW w:w="1445" w:type="dxa"/>
            <w:vAlign w:val="center"/>
          </w:tcPr>
          <w:p w14:paraId="32BA75CB">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监测计划</w:t>
            </w:r>
          </w:p>
        </w:tc>
        <w:tc>
          <w:tcPr>
            <w:tcW w:w="6505" w:type="dxa"/>
            <w:vAlign w:val="center"/>
          </w:tcPr>
          <w:p w14:paraId="0F8CFBEA">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可为患者制定监测计划，并通知患者执行计划；</w:t>
            </w:r>
          </w:p>
          <w:p w14:paraId="00893747">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可对指定的监测计划进行执行监督包括预警和漏记告警；</w:t>
            </w:r>
          </w:p>
          <w:p w14:paraId="29D602D9">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可支持物联网设备接入，自动上传血压、血糖数据；</w:t>
            </w:r>
          </w:p>
        </w:tc>
      </w:tr>
      <w:tr w14:paraId="021B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726C6A48">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60C490B9">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lang w:eastAsia="zh-CN"/>
                <w14:textFill>
                  <w14:solidFill>
                    <w14:schemeClr w14:val="tx1"/>
                  </w14:solidFill>
                </w14:textFill>
              </w:rPr>
              <w:t>标准专病管理作业流程</w:t>
            </w:r>
          </w:p>
        </w:tc>
        <w:tc>
          <w:tcPr>
            <w:tcW w:w="6505" w:type="dxa"/>
            <w:vAlign w:val="center"/>
          </w:tcPr>
          <w:p w14:paraId="5539BAC5">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须包含入组、评估、计划、干预、阶段性评估等专病管理流程；</w:t>
            </w:r>
          </w:p>
          <w:p w14:paraId="2F0CBD4A">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管理任务可由后台设置人员后由系统自动触发管理任务；</w:t>
            </w:r>
          </w:p>
          <w:p w14:paraId="01E56EAC">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支持管理任务转发；</w:t>
            </w:r>
          </w:p>
        </w:tc>
      </w:tr>
      <w:tr w14:paraId="3A696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6CADF6DD">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14:textFill>
                  <w14:solidFill>
                    <w14:schemeClr w14:val="tx1"/>
                  </w14:solidFill>
                </w14:textFill>
              </w:rPr>
            </w:pPr>
          </w:p>
        </w:tc>
        <w:tc>
          <w:tcPr>
            <w:tcW w:w="1445" w:type="dxa"/>
            <w:vAlign w:val="center"/>
          </w:tcPr>
          <w:p w14:paraId="7BE777BA">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阶段性评估</w:t>
            </w:r>
          </w:p>
        </w:tc>
        <w:tc>
          <w:tcPr>
            <w:tcW w:w="6505" w:type="dxa"/>
            <w:vAlign w:val="center"/>
          </w:tcPr>
          <w:p w14:paraId="42C19234">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根据患者情况不同可设置每隔一段时间提醒管理人员进行阶段性评估</w:t>
            </w:r>
          </w:p>
        </w:tc>
      </w:tr>
      <w:tr w14:paraId="3977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723FE298">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3ECA45A6">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14:textFill>
                  <w14:solidFill>
                    <w14:schemeClr w14:val="tx1"/>
                  </w14:solidFill>
                </w14:textFill>
              </w:rPr>
              <w:t>老年综合征评估</w:t>
            </w:r>
          </w:p>
        </w:tc>
        <w:tc>
          <w:tcPr>
            <w:tcW w:w="6505" w:type="dxa"/>
            <w:vAlign w:val="center"/>
          </w:tcPr>
          <w:p w14:paraId="0F693724">
            <w:pPr>
              <w:pStyle w:val="20"/>
              <w:numPr>
                <w:ilvl w:val="0"/>
                <w:numId w:val="1"/>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可对患者进行老年综合征评估，并自动生成评估报告；</w:t>
            </w:r>
          </w:p>
          <w:p w14:paraId="234790DA">
            <w:pPr>
              <w:pStyle w:val="20"/>
              <w:numPr>
                <w:ilvl w:val="0"/>
                <w:numId w:val="1"/>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支持PDF导出；</w:t>
            </w:r>
          </w:p>
        </w:tc>
      </w:tr>
      <w:tr w14:paraId="58E6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45FEFBB4">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14:textFill>
                  <w14:solidFill>
                    <w14:schemeClr w14:val="tx1"/>
                  </w14:solidFill>
                </w14:textFill>
              </w:rPr>
            </w:pPr>
          </w:p>
        </w:tc>
        <w:tc>
          <w:tcPr>
            <w:tcW w:w="1445" w:type="dxa"/>
            <w:vAlign w:val="center"/>
          </w:tcPr>
          <w:p w14:paraId="70422C52">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患者档案管理</w:t>
            </w:r>
          </w:p>
        </w:tc>
        <w:tc>
          <w:tcPr>
            <w:tcW w:w="6505" w:type="dxa"/>
            <w:vAlign w:val="center"/>
          </w:tcPr>
          <w:p w14:paraId="20F55908">
            <w:pPr>
              <w:pStyle w:val="20"/>
              <w:numPr>
                <w:ilvl w:val="0"/>
                <w:numId w:val="2"/>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患者可针对自己的档案进行管理包括不限于一般资料、病历资料、用药方案、监测记录、评估报告等</w:t>
            </w:r>
          </w:p>
          <w:p w14:paraId="5DC56367">
            <w:pPr>
              <w:pStyle w:val="20"/>
              <w:numPr>
                <w:ilvl w:val="0"/>
                <w:numId w:val="2"/>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患者档案支持亲友分享，可分享给亲友查看或编辑；</w:t>
            </w:r>
          </w:p>
          <w:p w14:paraId="24A07F2F">
            <w:pPr>
              <w:pStyle w:val="20"/>
              <w:numPr>
                <w:ilvl w:val="0"/>
                <w:numId w:val="2"/>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患者档案支持护理人员手机端查看及编辑；</w:t>
            </w:r>
          </w:p>
          <w:p w14:paraId="76CF7290">
            <w:pPr>
              <w:pStyle w:val="20"/>
              <w:numPr>
                <w:ilvl w:val="0"/>
                <w:numId w:val="2"/>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若非患者本人查看，档案进行变更则须提醒患者；</w:t>
            </w:r>
          </w:p>
        </w:tc>
      </w:tr>
      <w:tr w14:paraId="5829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53E569AB">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72C654AE">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管理工作任务</w:t>
            </w:r>
          </w:p>
        </w:tc>
        <w:tc>
          <w:tcPr>
            <w:tcW w:w="6505" w:type="dxa"/>
            <w:vAlign w:val="center"/>
          </w:tcPr>
          <w:p w14:paraId="178E5039">
            <w:pPr>
              <w:pStyle w:val="20"/>
              <w:numPr>
                <w:ilvl w:val="0"/>
                <w:numId w:val="3"/>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将所有的管理环节拆分成任务发给相关的人员；</w:t>
            </w:r>
          </w:p>
          <w:p w14:paraId="06EF132E">
            <w:pPr>
              <w:pStyle w:val="20"/>
              <w:numPr>
                <w:ilvl w:val="0"/>
                <w:numId w:val="3"/>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可对任务进行转发、管理，任务若未在当天完成即为延期；</w:t>
            </w:r>
          </w:p>
        </w:tc>
      </w:tr>
      <w:tr w14:paraId="0708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45665012">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护理咨询</w:t>
            </w:r>
          </w:p>
        </w:tc>
        <w:tc>
          <w:tcPr>
            <w:tcW w:w="1445" w:type="dxa"/>
            <w:vAlign w:val="center"/>
          </w:tcPr>
          <w:p w14:paraId="2D16F93C">
            <w:pPr>
              <w:pStyle w:val="20"/>
              <w:adjustRightInd w:val="0"/>
              <w:snapToGrid w:val="0"/>
              <w:spacing w:before="163" w:after="163" w:line="275" w:lineRule="exact"/>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14:textFill>
                  <w14:solidFill>
                    <w14:schemeClr w14:val="tx1"/>
                  </w14:solidFill>
                </w14:textFill>
              </w:rPr>
              <w:t>多对一群聊咨询</w:t>
            </w:r>
          </w:p>
        </w:tc>
        <w:tc>
          <w:tcPr>
            <w:tcW w:w="6505" w:type="dxa"/>
            <w:vAlign w:val="center"/>
          </w:tcPr>
          <w:p w14:paraId="62131923">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根据患者所在的机构或团队不同，建立多个专业人员如医生、护士、药师等与患者组建为一个群聊提供免费咨询服务</w:t>
            </w:r>
          </w:p>
        </w:tc>
      </w:tr>
      <w:tr w14:paraId="0A71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1F18B1CA">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4B0DE770">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专业护理咨询</w:t>
            </w:r>
          </w:p>
        </w:tc>
        <w:tc>
          <w:tcPr>
            <w:tcW w:w="6505" w:type="dxa"/>
            <w:vAlign w:val="center"/>
          </w:tcPr>
          <w:p w14:paraId="64AA708B">
            <w:pPr>
              <w:pStyle w:val="20"/>
              <w:numPr>
                <w:ilvl w:val="0"/>
                <w:numId w:val="4"/>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可设置护理人员进行护理咨询</w:t>
            </w:r>
          </w:p>
          <w:p w14:paraId="2CA26416">
            <w:pPr>
              <w:pStyle w:val="20"/>
              <w:numPr>
                <w:ilvl w:val="0"/>
                <w:numId w:val="4"/>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可设置咨询助理进行提醒和协调；</w:t>
            </w:r>
          </w:p>
        </w:tc>
      </w:tr>
      <w:tr w14:paraId="58EC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3086F8F7">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专业量表评估系统</w:t>
            </w:r>
          </w:p>
        </w:tc>
        <w:tc>
          <w:tcPr>
            <w:tcW w:w="1445" w:type="dxa"/>
            <w:vAlign w:val="center"/>
          </w:tcPr>
          <w:p w14:paraId="454592AE">
            <w:pPr>
              <w:pStyle w:val="20"/>
              <w:adjustRightInd w:val="0"/>
              <w:snapToGrid w:val="0"/>
              <w:spacing w:before="163" w:after="163" w:line="275" w:lineRule="exact"/>
              <w:rPr>
                <w:rStyle w:val="19"/>
                <w:rFonts w:cs="宋体" w:asciiTheme="minorEastAsia" w:hAnsiTheme="minorEastAsia" w:eastAsiaTheme="minorEastAsia"/>
                <w:color w:val="000000" w:themeColor="text1"/>
                <w:sz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lang w:eastAsia="zh-CN"/>
                <w14:textFill>
                  <w14:solidFill>
                    <w14:schemeClr w14:val="tx1"/>
                  </w14:solidFill>
                </w14:textFill>
              </w:rPr>
              <w:t>患者量表自我筛查评估</w:t>
            </w:r>
          </w:p>
        </w:tc>
        <w:tc>
          <w:tcPr>
            <w:tcW w:w="6505" w:type="dxa"/>
            <w:vAlign w:val="center"/>
          </w:tcPr>
          <w:p w14:paraId="53127AB4">
            <w:pPr>
              <w:pStyle w:val="20"/>
              <w:numPr>
                <w:ilvl w:val="0"/>
                <w:numId w:val="5"/>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支持患者自助完成量表筛查并根据结果推荐其他量表；</w:t>
            </w:r>
          </w:p>
          <w:p w14:paraId="34382BF1">
            <w:pPr>
              <w:pStyle w:val="20"/>
              <w:numPr>
                <w:ilvl w:val="0"/>
                <w:numId w:val="5"/>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可进行语音播报量表题目；</w:t>
            </w:r>
          </w:p>
          <w:p w14:paraId="5D251C24">
            <w:pPr>
              <w:pStyle w:val="20"/>
              <w:numPr>
                <w:ilvl w:val="0"/>
                <w:numId w:val="5"/>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可进行语音回答；</w:t>
            </w:r>
          </w:p>
          <w:p w14:paraId="118587A0">
            <w:pPr>
              <w:pStyle w:val="20"/>
              <w:numPr>
                <w:ilvl w:val="0"/>
                <w:numId w:val="5"/>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支持认知、跌到等筛查量表的实现；</w:t>
            </w:r>
          </w:p>
        </w:tc>
      </w:tr>
      <w:tr w14:paraId="68C18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764E6229">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4700AE07">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14:textFill>
                  <w14:solidFill>
                    <w14:schemeClr w14:val="tx1"/>
                  </w14:solidFill>
                </w14:textFill>
              </w:rPr>
              <w:t>专业护理量表评估</w:t>
            </w:r>
          </w:p>
        </w:tc>
        <w:tc>
          <w:tcPr>
            <w:tcW w:w="6505" w:type="dxa"/>
            <w:vAlign w:val="center"/>
          </w:tcPr>
          <w:p w14:paraId="5AC71CB1">
            <w:pPr>
              <w:pStyle w:val="20"/>
              <w:numPr>
                <w:ilvl w:val="0"/>
                <w:numId w:val="6"/>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护理人员可对患者进行量表评估；</w:t>
            </w:r>
          </w:p>
          <w:p w14:paraId="212CCA50">
            <w:pPr>
              <w:pStyle w:val="20"/>
              <w:numPr>
                <w:ilvl w:val="0"/>
                <w:numId w:val="6"/>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护理人员可对不能进行系统判定的量表进行评分；</w:t>
            </w:r>
          </w:p>
        </w:tc>
      </w:tr>
      <w:tr w14:paraId="6C43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Align w:val="center"/>
          </w:tcPr>
          <w:p w14:paraId="74D040F4">
            <w:pPr>
              <w:pStyle w:val="20"/>
              <w:adjustRightInd w:val="0"/>
              <w:snapToGrid w:val="0"/>
              <w:spacing w:before="163" w:after="163" w:line="275" w:lineRule="exact"/>
              <w:rPr>
                <w:rStyle w:val="19"/>
                <w:rFonts w:cs="宋体" w:asciiTheme="minorEastAsia" w:hAnsiTheme="minorEastAsia" w:eastAsiaTheme="minorEastAsia"/>
                <w:color w:val="000000" w:themeColor="text1"/>
                <w:sz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lang w:eastAsia="zh-CN"/>
                <w14:textFill>
                  <w14:solidFill>
                    <w14:schemeClr w14:val="tx1"/>
                  </w14:solidFill>
                </w14:textFill>
              </w:rPr>
              <w:t>互联网+护理服务质控系统</w:t>
            </w:r>
          </w:p>
        </w:tc>
        <w:tc>
          <w:tcPr>
            <w:tcW w:w="1445" w:type="dxa"/>
            <w:vAlign w:val="center"/>
          </w:tcPr>
          <w:p w14:paraId="04768E79">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14:textFill>
                  <w14:solidFill>
                    <w14:schemeClr w14:val="tx1"/>
                  </w14:solidFill>
                </w14:textFill>
              </w:rPr>
              <w:t>质控记录</w:t>
            </w:r>
          </w:p>
        </w:tc>
        <w:tc>
          <w:tcPr>
            <w:tcW w:w="6505" w:type="dxa"/>
            <w:vAlign w:val="center"/>
          </w:tcPr>
          <w:p w14:paraId="7267A802">
            <w:pPr>
              <w:pStyle w:val="20"/>
              <w:numPr>
                <w:ilvl w:val="0"/>
                <w:numId w:val="7"/>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可根据开展不同的服务设置不同的质控记录，护理人员须完成质控记录才能结束订单；</w:t>
            </w:r>
          </w:p>
          <w:p w14:paraId="2EBBF480">
            <w:pPr>
              <w:pStyle w:val="20"/>
              <w:numPr>
                <w:ilvl w:val="0"/>
                <w:numId w:val="7"/>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质控记录根据开展的服务类型不同所需的质控记录也不同；</w:t>
            </w:r>
          </w:p>
        </w:tc>
      </w:tr>
      <w:tr w14:paraId="7B909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2529A08B">
            <w:pPr>
              <w:pStyle w:val="20"/>
              <w:adjustRightInd w:val="0"/>
              <w:snapToGrid w:val="0"/>
              <w:spacing w:before="163" w:after="163" w:line="275" w:lineRule="exact"/>
              <w:rPr>
                <w:rStyle w:val="19"/>
                <w:rFonts w:cs="宋体" w:asciiTheme="minorEastAsia" w:hAnsiTheme="minorEastAsia" w:eastAsiaTheme="minorEastAsia"/>
                <w:color w:val="000000" w:themeColor="text1"/>
                <w:sz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lang w:eastAsia="zh-CN"/>
                <w14:textFill>
                  <w14:solidFill>
                    <w14:schemeClr w14:val="tx1"/>
                  </w14:solidFill>
                </w14:textFill>
              </w:rPr>
              <w:t>护理服务监控服务中心</w:t>
            </w:r>
          </w:p>
        </w:tc>
        <w:tc>
          <w:tcPr>
            <w:tcW w:w="1445" w:type="dxa"/>
            <w:vAlign w:val="center"/>
          </w:tcPr>
          <w:p w14:paraId="1E0213B3">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基础业务数据看板</w:t>
            </w:r>
          </w:p>
        </w:tc>
        <w:tc>
          <w:tcPr>
            <w:tcW w:w="6505" w:type="dxa"/>
            <w:vAlign w:val="center"/>
          </w:tcPr>
          <w:p w14:paraId="050A5F1E">
            <w:pPr>
              <w:pStyle w:val="20"/>
              <w:numPr>
                <w:ilvl w:val="0"/>
                <w:numId w:val="8"/>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可按照今日、本周、本月进行数据实时查看和统计；</w:t>
            </w:r>
          </w:p>
          <w:p w14:paraId="7467644B">
            <w:pPr>
              <w:pStyle w:val="20"/>
              <w:numPr>
                <w:ilvl w:val="0"/>
                <w:numId w:val="8"/>
              </w:numPr>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包括快速咨询、护理咨询、VIP人数、居家照护人次查看实时数据；</w:t>
            </w:r>
          </w:p>
        </w:tc>
      </w:tr>
      <w:tr w14:paraId="29C30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265D7743">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2E97EC82">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用户数据看板</w:t>
            </w:r>
          </w:p>
        </w:tc>
        <w:tc>
          <w:tcPr>
            <w:tcW w:w="6505" w:type="dxa"/>
            <w:vAlign w:val="center"/>
          </w:tcPr>
          <w:p w14:paraId="78F7F2B1">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可实时统计查看系统注册人数及活跃人数及付费人数情况</w:t>
            </w:r>
          </w:p>
        </w:tc>
      </w:tr>
      <w:tr w14:paraId="546B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3442AE20">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346826F2">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患者地理位置分布</w:t>
            </w:r>
          </w:p>
        </w:tc>
        <w:tc>
          <w:tcPr>
            <w:tcW w:w="6505" w:type="dxa"/>
            <w:vAlign w:val="center"/>
          </w:tcPr>
          <w:p w14:paraId="27B7BE88">
            <w:pPr>
              <w:pStyle w:val="20"/>
              <w:numPr>
                <w:ilvl w:val="0"/>
                <w:numId w:val="0"/>
              </w:numPr>
              <w:adjustRightInd w:val="0"/>
              <w:snapToGrid w:val="0"/>
              <w:spacing w:before="163" w:after="163"/>
              <w:ind w:leftChars="0"/>
              <w:rPr>
                <w:rFonts w:hint="default" w:cs="宋体"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可查看患者在地图中的分布情况；</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 xml:space="preserve">                    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若患者监测数据发生预警，进行预警提示。</w:t>
            </w:r>
          </w:p>
        </w:tc>
      </w:tr>
      <w:tr w14:paraId="5CD5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0DE6AD4A">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790FC567">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管理信息看板</w:t>
            </w:r>
          </w:p>
        </w:tc>
        <w:tc>
          <w:tcPr>
            <w:tcW w:w="6505" w:type="dxa"/>
            <w:vAlign w:val="center"/>
          </w:tcPr>
          <w:p w14:paraId="431E38E2">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可实时查看所有管理的情况，管理关键数据的完成情况</w:t>
            </w:r>
          </w:p>
        </w:tc>
      </w:tr>
      <w:tr w14:paraId="584B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38DF8493">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3FC1D1BA">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各社区关键数据看板</w:t>
            </w:r>
          </w:p>
        </w:tc>
        <w:tc>
          <w:tcPr>
            <w:tcW w:w="6505" w:type="dxa"/>
            <w:vAlign w:val="center"/>
          </w:tcPr>
          <w:p w14:paraId="7C7A823C">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可查看各个社区的关注人数、注册人数、活跃人数及付费人数</w:t>
            </w:r>
          </w:p>
        </w:tc>
      </w:tr>
      <w:tr w14:paraId="2D10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64492E86">
            <w:pPr>
              <w:pStyle w:val="20"/>
              <w:adjustRightInd w:val="0"/>
              <w:snapToGrid w:val="0"/>
              <w:spacing w:before="163" w:after="163" w:line="275" w:lineRule="exact"/>
              <w:ind w:firstLine="420"/>
              <w:jc w:val="center"/>
              <w:rPr>
                <w:rStyle w:val="19"/>
                <w:rFonts w:cs="宋体" w:asciiTheme="minorEastAsia" w:hAnsiTheme="minorEastAsia" w:eastAsiaTheme="minorEastAsia"/>
                <w:color w:val="000000" w:themeColor="text1"/>
                <w:sz w:val="24"/>
                <w:lang w:eastAsia="zh-CN"/>
                <w14:textFill>
                  <w14:solidFill>
                    <w14:schemeClr w14:val="tx1"/>
                  </w14:solidFill>
                </w14:textFill>
              </w:rPr>
            </w:pPr>
          </w:p>
        </w:tc>
        <w:tc>
          <w:tcPr>
            <w:tcW w:w="1445" w:type="dxa"/>
            <w:vAlign w:val="center"/>
          </w:tcPr>
          <w:p w14:paraId="0A6E22C6">
            <w:pPr>
              <w:pStyle w:val="20"/>
              <w:adjustRightInd w:val="0"/>
              <w:snapToGrid w:val="0"/>
              <w:spacing w:before="163" w:after="163" w:line="275" w:lineRule="exact"/>
              <w:rPr>
                <w:rStyle w:val="19"/>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w:t>
            </w:r>
            <w:r>
              <w:rPr>
                <w:rStyle w:val="19"/>
                <w:rFonts w:hint="eastAsia" w:cs="宋体" w:asciiTheme="minorEastAsia" w:hAnsiTheme="minorEastAsia" w:eastAsiaTheme="minorEastAsia"/>
                <w:color w:val="000000" w:themeColor="text1"/>
                <w:sz w:val="24"/>
                <w14:textFill>
                  <w14:solidFill>
                    <w14:schemeClr w14:val="tx1"/>
                  </w14:solidFill>
                </w14:textFill>
              </w:rPr>
              <w:t>预警系统提示</w:t>
            </w:r>
          </w:p>
        </w:tc>
        <w:tc>
          <w:tcPr>
            <w:tcW w:w="6505" w:type="dxa"/>
            <w:vAlign w:val="center"/>
          </w:tcPr>
          <w:p w14:paraId="0CB40856">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可实时接收一键紧急呼救提示；</w:t>
            </w:r>
          </w:p>
          <w:p w14:paraId="34E302D2">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可设置预警系统管理员接收短信通知；</w:t>
            </w:r>
          </w:p>
        </w:tc>
      </w:tr>
      <w:tr w14:paraId="5A17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restart"/>
            <w:vAlign w:val="center"/>
          </w:tcPr>
          <w:p w14:paraId="40E47FC1">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Style w:val="19"/>
                <w:rFonts w:hint="eastAsia" w:cs="宋体" w:asciiTheme="minorEastAsia" w:hAnsiTheme="minorEastAsia" w:eastAsiaTheme="minorEastAsia"/>
                <w:color w:val="000000" w:themeColor="text1"/>
                <w:sz w:val="24"/>
                <w14:textFill>
                  <w14:solidFill>
                    <w14:schemeClr w14:val="tx1"/>
                  </w14:solidFill>
                </w14:textFill>
              </w:rPr>
              <w:t>组织管理</w:t>
            </w:r>
          </w:p>
        </w:tc>
        <w:tc>
          <w:tcPr>
            <w:tcW w:w="1445" w:type="dxa"/>
            <w:vAlign w:val="center"/>
          </w:tcPr>
          <w:p w14:paraId="23562F12">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业务数据看板</w:t>
            </w:r>
          </w:p>
        </w:tc>
        <w:tc>
          <w:tcPr>
            <w:tcW w:w="6505" w:type="dxa"/>
            <w:vAlign w:val="center"/>
          </w:tcPr>
          <w:p w14:paraId="599B0A43">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必须包括服务概况、用户活跃情况、社区用户状况、订单情况的实时查看；</w:t>
            </w:r>
          </w:p>
          <w:p w14:paraId="70F09D1E">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可按照社区卫生服务中心查看相应的数据；</w:t>
            </w:r>
          </w:p>
          <w:p w14:paraId="0055CEA3">
            <w:pPr>
              <w:pStyle w:val="20"/>
              <w:numPr>
                <w:ilvl w:val="0"/>
                <w:numId w:val="0"/>
              </w:numPr>
              <w:adjustRightInd w:val="0"/>
              <w:snapToGrid w:val="0"/>
              <w:spacing w:before="163" w:after="163"/>
              <w:ind w:leftChars="0"/>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可查看护理及服务的详情记录和订单详情记录及基础的可视化统计界面；</w:t>
            </w:r>
          </w:p>
        </w:tc>
      </w:tr>
      <w:tr w14:paraId="4BE3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vMerge w:val="continue"/>
          </w:tcPr>
          <w:p w14:paraId="0306EE12">
            <w:pPr>
              <w:pStyle w:val="20"/>
              <w:adjustRightInd w:val="0"/>
              <w:snapToGrid w:val="0"/>
              <w:spacing w:before="163" w:after="163"/>
              <w:ind w:firstLine="720" w:firstLineChars="300"/>
              <w:rPr>
                <w:rFonts w:cs="宋体" w:asciiTheme="minorEastAsia" w:hAnsiTheme="minorEastAsia" w:eastAsiaTheme="minorEastAsia"/>
                <w:color w:val="000000" w:themeColor="text1"/>
                <w:sz w:val="24"/>
                <w:szCs w:val="24"/>
                <w:lang w:eastAsia="zh-CN"/>
                <w14:textFill>
                  <w14:solidFill>
                    <w14:schemeClr w14:val="tx1"/>
                  </w14:solidFill>
                </w14:textFill>
              </w:rPr>
            </w:pPr>
          </w:p>
        </w:tc>
        <w:tc>
          <w:tcPr>
            <w:tcW w:w="1445" w:type="dxa"/>
            <w:vAlign w:val="center"/>
          </w:tcPr>
          <w:p w14:paraId="70C011FC">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*角色权限管理</w:t>
            </w:r>
          </w:p>
        </w:tc>
        <w:tc>
          <w:tcPr>
            <w:tcW w:w="6505" w:type="dxa"/>
            <w:vAlign w:val="center"/>
          </w:tcPr>
          <w:p w14:paraId="5DF4C8EC">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1</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支持账号、权限和角色管理，支持RAM的资源访问控制，支持自定义的访问控制策略；</w:t>
            </w:r>
          </w:p>
          <w:p w14:paraId="308F57AB">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2</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color w:val="000000" w:themeColor="text1"/>
                <w:spacing w:val="-2"/>
                <w:sz w:val="24"/>
                <w:szCs w:val="24"/>
                <w:lang w:eastAsia="zh-CN"/>
                <w14:textFill>
                  <w14:solidFill>
                    <w14:schemeClr w14:val="tx1"/>
                  </w14:solidFill>
                </w14:textFill>
              </w:rPr>
              <w:t>统一门户：实现对用户的统一认证、单点登录以及用户管理；</w:t>
            </w:r>
          </w:p>
          <w:p w14:paraId="20DFD6E2">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 xml:space="preserve"> </w:t>
            </w:r>
            <w:r>
              <w:rPr>
                <w:rFonts w:hint="eastAsia" w:cs="宋体" w:asciiTheme="minorEastAsia" w:hAnsiTheme="minorEastAsia" w:eastAsiaTheme="minorEastAsia"/>
                <w:color w:val="000000" w:themeColor="text1"/>
                <w:spacing w:val="-2"/>
                <w:sz w:val="24"/>
                <w:szCs w:val="24"/>
                <w:lang w:eastAsia="zh-CN"/>
                <w14:textFill>
                  <w14:solidFill>
                    <w14:schemeClr w14:val="tx1"/>
                  </w14:solidFill>
                </w14:textFill>
              </w:rPr>
              <w:t>支持重要应用（资源）的组合授权（多角色同时参与）控制管理机制；</w:t>
            </w:r>
          </w:p>
          <w:p w14:paraId="3CFA6AB3">
            <w:pPr>
              <w:pStyle w:val="20"/>
              <w:adjustRightInd w:val="0"/>
              <w:snapToGrid w:val="0"/>
              <w:spacing w:before="163" w:after="163"/>
              <w:rPr>
                <w:rFonts w:cs="宋体" w:asciiTheme="minorEastAsia" w:hAnsiTheme="minorEastAsia" w:eastAsiaTheme="minorEastAsia"/>
                <w:color w:val="000000" w:themeColor="text1"/>
                <w:sz w:val="24"/>
                <w:szCs w:val="24"/>
                <w:lang w:eastAsia="zh-CN"/>
                <w14:textFill>
                  <w14:solidFill>
                    <w14:schemeClr w14:val="tx1"/>
                  </w14:solidFill>
                </w14:textFill>
              </w:rPr>
            </w:pPr>
            <w:r>
              <w:rPr>
                <w:rFonts w:hint="eastAsia" w:cs="宋体" w:asciiTheme="minorEastAsia" w:hAnsiTheme="minorEastAsia" w:eastAsiaTheme="minorEastAsia"/>
                <w:color w:val="000000" w:themeColor="text1"/>
                <w:sz w:val="24"/>
                <w:szCs w:val="24"/>
                <w:lang w:eastAsia="zh-CN"/>
                <w14:textFill>
                  <w14:solidFill>
                    <w14:schemeClr w14:val="tx1"/>
                  </w14:solidFill>
                </w14:textFill>
              </w:rPr>
              <w:t>4</w:t>
            </w:r>
            <w:r>
              <w:rPr>
                <w:rFonts w:hint="eastAsia" w:cs="宋体" w:asciiTheme="minorEastAsia" w:hAnsiTheme="minorEastAsia" w:eastAsiaTheme="minorEastAsia"/>
                <w:color w:val="000000" w:themeColor="text1"/>
                <w:sz w:val="24"/>
                <w:szCs w:val="24"/>
                <w:lang w:val="en-US" w:eastAsia="zh-CN"/>
                <w14:textFill>
                  <w14:solidFill>
                    <w14:schemeClr w14:val="tx1"/>
                  </w14:solidFill>
                </w14:textFill>
              </w:rPr>
              <w:t>.</w:t>
            </w:r>
            <w:r>
              <w:rPr>
                <w:rFonts w:hint="eastAsia" w:cs="宋体" w:asciiTheme="minorEastAsia" w:hAnsiTheme="minorEastAsia" w:eastAsiaTheme="minorEastAsia"/>
                <w:color w:val="000000" w:themeColor="text1"/>
                <w:sz w:val="24"/>
                <w:szCs w:val="24"/>
                <w:lang w:eastAsia="zh-CN"/>
                <w14:textFill>
                  <w14:solidFill>
                    <w14:schemeClr w14:val="tx1"/>
                  </w14:solidFill>
                </w14:textFill>
              </w:rPr>
              <w:t>支持角色及权限的分配，分类查询、统计等功能；</w:t>
            </w:r>
          </w:p>
        </w:tc>
      </w:tr>
      <w:bookmarkEnd w:id="0"/>
    </w:tbl>
    <w:p w14:paraId="529F2381">
      <w:pPr>
        <w:spacing w:line="360" w:lineRule="auto"/>
        <w:rPr>
          <w:rFonts w:asciiTheme="minorEastAsia" w:hAnsiTheme="minorEastAsia"/>
          <w:b/>
          <w:color w:val="000000" w:themeColor="text1"/>
          <w:sz w:val="32"/>
          <w:szCs w:val="32"/>
          <w14:textFill>
            <w14:solidFill>
              <w14:schemeClr w14:val="tx1"/>
            </w14:solidFill>
          </w14:textFill>
        </w:rPr>
      </w:pPr>
    </w:p>
    <w:p w14:paraId="65FE09CD">
      <w:pPr>
        <w:adjustRightInd w:val="0"/>
        <w:snapToGrid w:val="0"/>
        <w:spacing w:line="360" w:lineRule="auto"/>
        <w:ind w:firstLine="640" w:firstLineChars="200"/>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四、运营服务需求</w:t>
      </w:r>
    </w:p>
    <w:p w14:paraId="6E2ED21A">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（一）运营服务范围包括：客户沟通、订单管理、协助退款、运营统计、服务处理、保险运营、市场运营、服务质控、系统运维。</w:t>
      </w:r>
    </w:p>
    <w:p w14:paraId="4ACEBB07">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（二）运营人员进行培训上岗，符合要求方可开展运营服务。</w:t>
      </w:r>
    </w:p>
    <w:p w14:paraId="1E585588">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lang w:val="en-GB"/>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（三）做好风险防控、护士安全保障等工作，内部成立应急及危机预警小组，保证有问题及时互通，并第一时间解决。</w:t>
      </w:r>
    </w:p>
    <w:p w14:paraId="5C0BAC47">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lang w:val="en-GB"/>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（四）不可向第三方泄露服务运营的相关信息。</w:t>
      </w:r>
    </w:p>
    <w:p w14:paraId="4DA498DF">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lang w:val="en-GB"/>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r>
        <w:rPr>
          <w:rFonts w:hint="eastAsia" w:ascii="方正仿宋_GBK" w:hAnsi="方正仿宋_GBK" w:eastAsia="方正仿宋_GBK" w:cs="方正仿宋_GBK"/>
          <w:color w:val="000000" w:themeColor="text1"/>
          <w:sz w:val="32"/>
          <w:szCs w:val="32"/>
          <w:lang w:val="en-GB"/>
          <w14:textFill>
            <w14:solidFill>
              <w14:schemeClr w14:val="tx1"/>
            </w14:solidFill>
          </w14:textFill>
        </w:rPr>
        <w:t>服务费范围及收费方式（耗材、交通、服务费等说明）以及耗材由医院提供。</w:t>
      </w:r>
      <w:r>
        <w:rPr>
          <w:rFonts w:hint="eastAsia" w:ascii="方正仿宋_GBK" w:hAnsi="方正仿宋_GBK" w:eastAsia="方正仿宋_GBK" w:cs="方正仿宋_GBK"/>
          <w:color w:val="000000" w:themeColor="text1"/>
          <w:sz w:val="32"/>
          <w:szCs w:val="32"/>
          <w14:textFill>
            <w14:solidFill>
              <w14:schemeClr w14:val="tx1"/>
            </w14:solidFill>
          </w14:textFill>
        </w:rPr>
        <w:br w:type="page"/>
      </w:r>
    </w:p>
    <w:p w14:paraId="3DBB9FD8">
      <w:pPr>
        <w:pStyle w:val="4"/>
        <w:jc w:val="center"/>
        <w:rPr>
          <w:rFonts w:hint="eastAsia" w:ascii="方正小标宋_GBK" w:hAnsi="方正小标宋_GBK" w:eastAsia="方正小标宋_GBK" w:cs="方正小标宋_GBK"/>
          <w:b w:val="0"/>
          <w:bCs w:val="0"/>
          <w:color w:val="000000" w:themeColor="text1"/>
          <w14:textFill>
            <w14:solidFill>
              <w14:schemeClr w14:val="tx1"/>
            </w14:solidFill>
          </w14:textFill>
        </w:rPr>
      </w:pPr>
      <w:r>
        <w:rPr>
          <w:rFonts w:hint="eastAsia" w:ascii="方正小标宋_GBK" w:hAnsi="方正小标宋_GBK" w:eastAsia="方正小标宋_GBK" w:cs="方正小标宋_GBK"/>
          <w:b w:val="0"/>
          <w:bCs w:val="0"/>
          <w:color w:val="000000" w:themeColor="text1"/>
          <w14:textFill>
            <w14:solidFill>
              <w14:schemeClr w14:val="tx1"/>
            </w14:solidFill>
          </w14:textFill>
        </w:rPr>
        <w:t>商务要求</w:t>
      </w:r>
    </w:p>
    <w:p w14:paraId="2BE56C5C">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一、项目周期、地点</w:t>
      </w:r>
    </w:p>
    <w:p w14:paraId="717B925A">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1.服务地点：重庆涪陵区人民医院。</w:t>
      </w:r>
    </w:p>
    <w:p w14:paraId="211CA16C">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2.项目周期：合同签订之日起3个月内完成。</w:t>
      </w:r>
    </w:p>
    <w:p w14:paraId="0F32135E">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3.免费服务期：3年（项目验收合格起算，一年一签）。</w:t>
      </w:r>
    </w:p>
    <w:p w14:paraId="08BEFDEC">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二、项目实施</w:t>
      </w:r>
    </w:p>
    <w:p w14:paraId="10E5F7B3">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1.免费服务期：自项目验收合格之日算起，所有产品提供免费服务 3 年。</w:t>
      </w:r>
    </w:p>
    <w:p w14:paraId="6D0867F9">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2.按照合同规定的时间提交产品，并在实施现场以双方认可的方式进行安装；</w:t>
      </w:r>
    </w:p>
    <w:p w14:paraId="74FEA980">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3.系统实施验收按照合同计划进行，须在验收时完成各应用模块完成实施功能确认。</w:t>
      </w:r>
    </w:p>
    <w:p w14:paraId="12B6225D">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验收人员由重庆市涪陵区人民医院相关人员、供应商共同组成，验收标准按验收规范，并以系统稳定运行为前提。系统验收前，由供应商按系统分析文档和系统设计文档提供测试工具与数据对各模块、子系统测试，测试结果双方主管人员签字认可，存档留作验收时参考；</w:t>
      </w:r>
    </w:p>
    <w:p w14:paraId="4D0E14D0">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5.系统验收后成交供应商须保证提供详细的相关技术服务文档（含数据结构、数据流图、系统字典说明等）、使用说明书、维护手册等文档资料及其电子版。供应商须配合医院做好信息安全等级保护工作。</w:t>
      </w:r>
    </w:p>
    <w:p w14:paraId="2EC79DD9">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三、系统培训</w:t>
      </w:r>
    </w:p>
    <w:p w14:paraId="4E3AAF13">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须对采购人进行培训，具体培训内容由供应商自行提供方案。</w:t>
      </w:r>
    </w:p>
    <w:p w14:paraId="457717E9">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四、运行保障</w:t>
      </w:r>
    </w:p>
    <w:p w14:paraId="02F752A5">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1.维修响应要求</w:t>
      </w:r>
    </w:p>
    <w:p w14:paraId="5A5CA2FF">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维修响应时间要求：应在接到采购人维修通知的前提下2个小时内作出维修响应；</w:t>
      </w:r>
    </w:p>
    <w:p w14:paraId="65B5BA09">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维修时间要求：作出维修响应后，应在3小时内电话解决问题，如电话不能解决的，则维修人员应在12小时之内到达现场（含节假日）进行维修。</w:t>
      </w:r>
    </w:p>
    <w:p w14:paraId="0877ADAE">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2.维保要求</w:t>
      </w:r>
    </w:p>
    <w:p w14:paraId="66A37CF9">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以验收合格之日起算，所有软件系统免费维保3年。</w:t>
      </w:r>
    </w:p>
    <w:p w14:paraId="11F51F77">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维保期内供应商应负责软件系统维修及抢修。维保期内供应商应负责系统的稳定运行并负责系统的维护，由此产生的一切费用由供应商承担。</w:t>
      </w:r>
    </w:p>
    <w:p w14:paraId="48861892">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五、知识产权</w:t>
      </w:r>
    </w:p>
    <w:p w14:paraId="6CAF98AD">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采购人在中华人民共和国境内使用成交供应商提供的项目及服务时免受第三方提出的侵犯其专利权或其它知识产权的起诉。如果第三方提出侵权指控，成交供应商应承担由此而引起的一切法律责任和费用。</w:t>
      </w:r>
    </w:p>
    <w:p w14:paraId="4E525FB1">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六、其他</w:t>
      </w:r>
    </w:p>
    <w:p w14:paraId="02DDC16B">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（一）供应商必须在响应文件中对以上条款和服务承诺明确列出，承诺内容必须达到本篇及询价文件其他条款的要求。</w:t>
      </w:r>
    </w:p>
    <w:p w14:paraId="6866D26A">
      <w:pPr>
        <w:spacing w:line="288"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（二）其他未尽事宜由供需双方在采购合同中详细约定。</w:t>
      </w:r>
    </w:p>
    <w:p w14:paraId="3548D74E">
      <w:pPr>
        <w:jc w:val="center"/>
        <w:rPr>
          <w:rFonts w:hint="eastAsia" w:cs="方正小标宋_GBK" w:asciiTheme="minorEastAsia" w:hAnsiTheme="minorEastAsia"/>
          <w:color w:val="000000" w:themeColor="text1"/>
          <w:sz w:val="44"/>
          <w:szCs w:val="44"/>
          <w14:textFill>
            <w14:solidFill>
              <w14:schemeClr w14:val="tx1"/>
            </w14:solidFill>
          </w14:textFill>
        </w:rPr>
      </w:pPr>
      <w:bookmarkStart w:id="1" w:name="_Toc340223153"/>
      <w:bookmarkStart w:id="2" w:name="_Toc267320057"/>
    </w:p>
    <w:p w14:paraId="407FFB46">
      <w:pPr>
        <w:jc w:val="center"/>
        <w:rPr>
          <w:rFonts w:hint="eastAsia" w:cs="方正小标宋_GBK" w:asciiTheme="minorEastAsia" w:hAnsiTheme="minorEastAsia"/>
          <w:color w:val="000000" w:themeColor="text1"/>
          <w:sz w:val="44"/>
          <w:szCs w:val="44"/>
          <w14:textFill>
            <w14:solidFill>
              <w14:schemeClr w14:val="tx1"/>
            </w14:solidFill>
          </w14:textFill>
        </w:rPr>
      </w:pPr>
    </w:p>
    <w:p w14:paraId="2E968D8F">
      <w:pPr>
        <w:jc w:val="center"/>
        <w:rPr>
          <w:rFonts w:hint="eastAsia" w:cs="方正小标宋_GBK" w:asciiTheme="minorEastAsia" w:hAnsiTheme="minorEastAsia"/>
          <w:color w:val="000000" w:themeColor="text1"/>
          <w:sz w:val="44"/>
          <w:szCs w:val="44"/>
          <w14:textFill>
            <w14:solidFill>
              <w14:schemeClr w14:val="tx1"/>
            </w14:solidFill>
          </w14:textFill>
        </w:rPr>
      </w:pPr>
    </w:p>
    <w:p w14:paraId="786A1668">
      <w:pPr>
        <w:jc w:val="center"/>
        <w:rPr>
          <w:rFonts w:hint="eastAsia" w:cs="方正小标宋_GBK" w:asciiTheme="minorEastAsia" w:hAnsiTheme="minorEastAsia"/>
          <w:color w:val="000000" w:themeColor="text1"/>
          <w:sz w:val="44"/>
          <w:szCs w:val="44"/>
          <w14:textFill>
            <w14:solidFill>
              <w14:schemeClr w14:val="tx1"/>
            </w14:solidFill>
          </w14:textFill>
        </w:rPr>
      </w:pPr>
    </w:p>
    <w:p w14:paraId="0ACEE06A">
      <w:pPr>
        <w:jc w:val="center"/>
        <w:rPr>
          <w:rFonts w:hint="eastAsia" w:ascii="方正黑体_GBK" w:hAnsi="方正黑体_GBK" w:eastAsia="方正黑体_GBK" w:cs="方正黑体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4"/>
          <w:szCs w:val="44"/>
          <w14:textFill>
            <w14:solidFill>
              <w14:schemeClr w14:val="tx1"/>
            </w14:solidFill>
          </w14:textFill>
        </w:rPr>
        <w:t>评标标准</w:t>
      </w:r>
      <w:bookmarkEnd w:id="1"/>
      <w:bookmarkEnd w:id="2"/>
    </w:p>
    <w:tbl>
      <w:tblPr>
        <w:tblStyle w:val="15"/>
        <w:tblW w:w="49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00"/>
        <w:gridCol w:w="6907"/>
      </w:tblGrid>
      <w:tr w14:paraId="496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625" w:type="pct"/>
            <w:noWrap/>
            <w:vAlign w:val="center"/>
          </w:tcPr>
          <w:p w14:paraId="490C2B1C">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报价部分（30分）</w:t>
            </w:r>
          </w:p>
        </w:tc>
        <w:tc>
          <w:tcPr>
            <w:tcW w:w="737" w:type="pct"/>
            <w:vAlign w:val="center"/>
          </w:tcPr>
          <w:p w14:paraId="5E9B1779">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投标报价</w:t>
            </w:r>
          </w:p>
          <w:p w14:paraId="60646552">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(30分)</w:t>
            </w:r>
          </w:p>
        </w:tc>
        <w:tc>
          <w:tcPr>
            <w:tcW w:w="3636" w:type="pct"/>
            <w:noWrap/>
            <w:vAlign w:val="center"/>
          </w:tcPr>
          <w:p w14:paraId="0166CAED">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供应商根据此项目对提供的技术及运营分成服务进行最终报价，最低的最后报价为评标基准价（供应商的分成比例，例如30%），其报价得分为满分。其他供应商的报价得分统一按照下列公式计算：报价得分=（评标基准价/最后报价）×30%*满分分值</w:t>
            </w:r>
          </w:p>
        </w:tc>
      </w:tr>
      <w:tr w14:paraId="49CFD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625" w:type="pct"/>
            <w:vMerge w:val="restart"/>
            <w:noWrap/>
            <w:vAlign w:val="center"/>
          </w:tcPr>
          <w:p w14:paraId="084B88F9">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2D91A74D">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2A79308B">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7D8AC801">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40DE2F1D">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639682C4">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3932BF0F">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4F0E45B4">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4E3364DB">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5B36BCA7">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5673BB8F">
            <w:pPr>
              <w:pStyle w:val="21"/>
              <w:adjustRightInd w:val="0"/>
              <w:snapToGrid w:val="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商务部分（22分）</w:t>
            </w:r>
          </w:p>
          <w:p w14:paraId="23AEF9B1">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61BF8A85">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7C17745A">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6377983F">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5663FD31">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2E1C1A49">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4672410F">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2E3E2696">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1537A5E8">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620DEAB5">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570BDD93">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1C9FCE5B">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企业实力</w:t>
            </w:r>
          </w:p>
          <w:p w14:paraId="046CC5BF">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w:t>
            </w:r>
          </w:p>
        </w:tc>
        <w:tc>
          <w:tcPr>
            <w:tcW w:w="3636" w:type="pct"/>
            <w:noWrap/>
            <w:vAlign w:val="center"/>
          </w:tcPr>
          <w:p w14:paraId="6094EE27">
            <w:pPr>
              <w:numPr>
                <w:ilvl w:val="0"/>
                <w:numId w:val="9"/>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投标方具有《软件企业认定证书》得2分；</w:t>
            </w:r>
          </w:p>
          <w:p w14:paraId="2478B8BD">
            <w:pPr>
              <w:numPr>
                <w:ilvl w:val="0"/>
                <w:numId w:val="9"/>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投标方具有《AAA级企业信用证书》得2分；</w:t>
            </w:r>
          </w:p>
          <w:p w14:paraId="4015916B">
            <w:pPr>
              <w:numPr>
                <w:ilvl w:val="0"/>
                <w:numId w:val="9"/>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所投产品具有《软件著作权登记证书》得2分</w:t>
            </w:r>
          </w:p>
          <w:p w14:paraId="076921EF">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（以上资质证书必须在有效期内，提供复印件并加盖投标单位公章）</w:t>
            </w:r>
          </w:p>
        </w:tc>
      </w:tr>
      <w:tr w14:paraId="27E9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25" w:type="pct"/>
            <w:vMerge w:val="continue"/>
            <w:noWrap/>
            <w:vAlign w:val="center"/>
          </w:tcPr>
          <w:p w14:paraId="4C6868FB">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7C31FCEF">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相关案例</w:t>
            </w:r>
          </w:p>
          <w:p w14:paraId="4A428AAC">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（6分）</w:t>
            </w:r>
          </w:p>
        </w:tc>
        <w:tc>
          <w:tcPr>
            <w:tcW w:w="3636" w:type="pct"/>
            <w:noWrap/>
            <w:vAlign w:val="center"/>
          </w:tcPr>
          <w:p w14:paraId="51031AC5">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提供2022年1月1日以来护理系统相关客户案例一个得3分，最高6分。</w:t>
            </w:r>
          </w:p>
          <w:p w14:paraId="6943605E">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需提供甲方直接签订的合同原件扫描件或中标通知书扫描件</w:t>
            </w:r>
          </w:p>
        </w:tc>
      </w:tr>
      <w:tr w14:paraId="3A23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625" w:type="pct"/>
            <w:vMerge w:val="continue"/>
            <w:noWrap/>
            <w:vAlign w:val="center"/>
          </w:tcPr>
          <w:p w14:paraId="47207AD8">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7DB8A428">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售后服务方案（6分）</w:t>
            </w:r>
          </w:p>
        </w:tc>
        <w:tc>
          <w:tcPr>
            <w:tcW w:w="3636" w:type="pct"/>
            <w:noWrap/>
            <w:vAlign w:val="center"/>
          </w:tcPr>
          <w:p w14:paraId="4309F369">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提供售后服务方案，方案至少包含：</w:t>
            </w:r>
          </w:p>
          <w:p w14:paraId="3723EA85">
            <w:pPr>
              <w:numPr>
                <w:ilvl w:val="0"/>
                <w:numId w:val="10"/>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维护期内外的后续技术支持；</w:t>
            </w:r>
          </w:p>
          <w:p w14:paraId="1D733B1F">
            <w:pPr>
              <w:numPr>
                <w:ilvl w:val="0"/>
                <w:numId w:val="10"/>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维护能力情况；</w:t>
            </w:r>
          </w:p>
          <w:p w14:paraId="213AD08B">
            <w:pPr>
              <w:numPr>
                <w:ilvl w:val="0"/>
                <w:numId w:val="10"/>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维护人员情况；</w:t>
            </w:r>
          </w:p>
          <w:p w14:paraId="0417A893">
            <w:p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以上内容要素齐全完整的得6分，在6分的基础上，每有一项内容缺失或遗漏或仅有大纲标题无正文内容或不可行的扣2分。</w:t>
            </w:r>
          </w:p>
        </w:tc>
      </w:tr>
      <w:tr w14:paraId="7007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625" w:type="pct"/>
            <w:vMerge w:val="continue"/>
            <w:noWrap/>
            <w:vAlign w:val="center"/>
          </w:tcPr>
          <w:p w14:paraId="02E493DC">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425601C6">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流程监控方案（4分）</w:t>
            </w:r>
          </w:p>
        </w:tc>
        <w:tc>
          <w:tcPr>
            <w:tcW w:w="3636" w:type="pct"/>
            <w:noWrap/>
            <w:vAlign w:val="center"/>
          </w:tcPr>
          <w:p w14:paraId="7773F3A3">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提供该项目的监控服务包括订单接单、紧急呼救响应等事件处理方案包含：</w:t>
            </w:r>
          </w:p>
          <w:p w14:paraId="3B565CAC">
            <w:pPr>
              <w:numPr>
                <w:ilvl w:val="0"/>
                <w:numId w:val="11"/>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订单流程梳理（下单、退单）</w:t>
            </w:r>
          </w:p>
          <w:p w14:paraId="3CC54066">
            <w:pPr>
              <w:numPr>
                <w:ilvl w:val="0"/>
                <w:numId w:val="11"/>
              </w:numPr>
              <w:spacing w:line="320" w:lineRule="exact"/>
              <w:jc w:val="left"/>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紧急呼救响应及应对流程</w:t>
            </w:r>
          </w:p>
          <w:p w14:paraId="460D7353">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以上内容要素齐全完整的得4分，在4分的基础上，每有一项内容缺失或遗漏或仅有大纲标题无正文内容或不可行的扣2分；</w:t>
            </w:r>
          </w:p>
        </w:tc>
      </w:tr>
      <w:tr w14:paraId="0EC0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625" w:type="pct"/>
            <w:vMerge w:val="restart"/>
            <w:noWrap/>
            <w:vAlign w:val="center"/>
          </w:tcPr>
          <w:p w14:paraId="2EDB0521">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6C8B77F1">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技术部分（48分)</w:t>
            </w:r>
          </w:p>
          <w:p w14:paraId="0E73E97F">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p w14:paraId="141CC2A9">
            <w:pPr>
              <w:pStyle w:val="21"/>
              <w:adjustRightInd w:val="0"/>
              <w:snapToGrid w:val="0"/>
              <w:ind w:firstLine="480"/>
              <w:jc w:val="both"/>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2F17EFC5">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功能与项目功能及技术要求的吻合度（34分）</w:t>
            </w:r>
          </w:p>
        </w:tc>
        <w:tc>
          <w:tcPr>
            <w:tcW w:w="3636" w:type="pct"/>
            <w:noWrap/>
            <w:vAlign w:val="center"/>
          </w:tcPr>
          <w:p w14:paraId="30E27AF0">
            <w:pPr>
              <w:pStyle w:val="21"/>
              <w:adjustRightInd w:val="0"/>
              <w:snapToGrid w:val="0"/>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所投产品主要技术指标应完全满足或优于采购文件中第二篇全部建设内容及功能技术参数要求且方案完整得满分34分，不满足建设内容，每缺少1项，扣4分；不满足技术参数要求的，每缺少1项，扣2分，不满足带*技术参数要求的，每项扣4分，扣完为止。</w:t>
            </w:r>
          </w:p>
        </w:tc>
      </w:tr>
      <w:tr w14:paraId="11A4C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trPr>
        <w:tc>
          <w:tcPr>
            <w:tcW w:w="625" w:type="pct"/>
            <w:vMerge w:val="continue"/>
            <w:noWrap/>
            <w:vAlign w:val="center"/>
          </w:tcPr>
          <w:p w14:paraId="21C14413">
            <w:pPr>
              <w:pStyle w:val="21"/>
              <w:adjustRightInd w:val="0"/>
              <w:snapToGrid w:val="0"/>
              <w:ind w:firstLine="480"/>
              <w:jc w:val="center"/>
              <w:rPr>
                <w:rFonts w:asciiTheme="minorEastAsia" w:hAnsiTheme="minorEastAsia" w:eastAsiaTheme="minorEastAsia"/>
                <w:color w:val="000000" w:themeColor="text1"/>
                <w14:textFill>
                  <w14:solidFill>
                    <w14:schemeClr w14:val="tx1"/>
                  </w14:solidFill>
                </w14:textFill>
              </w:rPr>
            </w:pPr>
          </w:p>
        </w:tc>
        <w:tc>
          <w:tcPr>
            <w:tcW w:w="737" w:type="pct"/>
            <w:vAlign w:val="center"/>
          </w:tcPr>
          <w:p w14:paraId="6476F9AD">
            <w:pPr>
              <w:pStyle w:val="21"/>
              <w:adjustRightInd w:val="0"/>
              <w:snapToGrid w:val="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系统页面及美观性（14分）</w:t>
            </w:r>
          </w:p>
        </w:tc>
        <w:tc>
          <w:tcPr>
            <w:tcW w:w="3636" w:type="pct"/>
            <w:noWrap/>
            <w:vAlign w:val="center"/>
          </w:tcPr>
          <w:p w14:paraId="2C654F7C">
            <w:pPr>
              <w:rPr>
                <w:rFonts w:cs="宋体" w:asciiTheme="minorEastAsia" w:hAnsiTheme="minorEastAsia"/>
                <w:color w:val="000000" w:themeColor="text1"/>
                <w:sz w:val="24"/>
                <w14:textFill>
                  <w14:solidFill>
                    <w14:schemeClr w14:val="tx1"/>
                  </w14:solidFill>
                </w14:textFill>
              </w:rPr>
            </w:pPr>
            <w:r>
              <w:rPr>
                <w:rFonts w:hint="eastAsia" w:cs="宋体" w:asciiTheme="minorEastAsia" w:hAnsiTheme="minorEastAsia"/>
                <w:color w:val="000000" w:themeColor="text1"/>
                <w:sz w:val="24"/>
                <w14:textFill>
                  <w14:solidFill>
                    <w14:schemeClr w14:val="tx1"/>
                  </w14:solidFill>
                </w14:textFill>
              </w:rPr>
              <w:t>提供7项建设系统</w:t>
            </w:r>
            <w:r>
              <w:rPr>
                <w:rFonts w:hint="eastAsia" w:cs="宋体" w:asciiTheme="minorEastAsia" w:hAnsiTheme="minorEastAsia"/>
                <w:b/>
                <w:bCs/>
                <w:color w:val="000000" w:themeColor="text1"/>
                <w:sz w:val="24"/>
                <w14:textFill>
                  <w14:solidFill>
                    <w14:schemeClr w14:val="tx1"/>
                  </w14:solidFill>
                </w14:textFill>
              </w:rPr>
              <w:t>页面截图</w:t>
            </w:r>
            <w:r>
              <w:rPr>
                <w:rFonts w:hint="eastAsia" w:cs="宋体" w:asciiTheme="minorEastAsia" w:hAnsiTheme="minorEastAsia"/>
                <w:color w:val="000000" w:themeColor="text1"/>
                <w:sz w:val="24"/>
                <w14:textFill>
                  <w14:solidFill>
                    <w14:schemeClr w14:val="tx1"/>
                  </w14:solidFill>
                </w14:textFill>
              </w:rPr>
              <w:t>及简要说明，包含（互联网+护理服务、专病管理、护理咨询、专业量表评估系统、互联网+护理服务质控系统、护理服务监控服务中心、组织管理）板块，增强页面的整体感。</w:t>
            </w:r>
            <w:r>
              <w:rPr>
                <w:rFonts w:hint="eastAsia" w:ascii="宋体" w:hAnsi="宋体" w:cs="宋体"/>
                <w:bCs/>
                <w:color w:val="000000" w:themeColor="text1"/>
                <w:sz w:val="24"/>
                <w14:textFill>
                  <w14:solidFill>
                    <w14:schemeClr w14:val="tx1"/>
                  </w14:solidFill>
                </w14:textFill>
              </w:rPr>
              <w:t>（优得</w:t>
            </w:r>
            <w:r>
              <w:rPr>
                <w:rFonts w:hint="eastAsia"/>
                <w:bCs/>
                <w:color w:val="000000" w:themeColor="text1"/>
                <w:sz w:val="24"/>
                <w14:textFill>
                  <w14:solidFill>
                    <w14:schemeClr w14:val="tx1"/>
                  </w14:solidFill>
                </w14:textFill>
              </w:rPr>
              <w:t>14</w:t>
            </w:r>
            <w:r>
              <w:rPr>
                <w:rFonts w:hint="eastAsia" w:ascii="宋体" w:hAnsi="宋体" w:cs="宋体"/>
                <w:bCs/>
                <w:color w:val="000000" w:themeColor="text1"/>
                <w:sz w:val="24"/>
                <w14:textFill>
                  <w14:solidFill>
                    <w14:schemeClr w14:val="tx1"/>
                  </w14:solidFill>
                </w14:textFill>
              </w:rPr>
              <w:t>分，一般得</w:t>
            </w:r>
            <w:r>
              <w:rPr>
                <w:rFonts w:hint="eastAsia"/>
                <w:bCs/>
                <w:color w:val="000000" w:themeColor="text1"/>
                <w:sz w:val="24"/>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分，较差得4分）</w:t>
            </w:r>
          </w:p>
          <w:p w14:paraId="4E4E7AE8">
            <w:pPr>
              <w:rPr>
                <w:rFonts w:asciiTheme="minorEastAsia" w:hAnsiTheme="minorEastAsia"/>
                <w:color w:val="000000" w:themeColor="text1"/>
                <w:sz w:val="24"/>
                <w14:textFill>
                  <w14:solidFill>
                    <w14:schemeClr w14:val="tx1"/>
                  </w14:solidFill>
                </w14:textFill>
              </w:rPr>
            </w:pPr>
          </w:p>
        </w:tc>
      </w:tr>
    </w:tbl>
    <w:p w14:paraId="3C0551E6">
      <w:pPr>
        <w:rPr>
          <w:rFonts w:asciiTheme="minorEastAsia" w:hAnsiTheme="minorEastAsia"/>
          <w:color w:val="000000" w:themeColor="text1"/>
          <w:sz w:val="24"/>
          <w14:textFill>
            <w14:solidFill>
              <w14:schemeClr w14:val="tx1"/>
            </w14:solidFill>
          </w14:textFill>
        </w:rPr>
      </w:pPr>
    </w:p>
    <w:p w14:paraId="09A53D51">
      <w:pPr>
        <w:pStyle w:val="7"/>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5723DE3A">
      <w:pPr>
        <w:jc w:val="center"/>
        <w:rPr>
          <w:rFonts w:hint="eastAsia" w:ascii="方正黑体_GBK" w:hAnsi="方正黑体_GBK" w:eastAsia="方正黑体_GBK" w:cs="方正黑体_GBK"/>
          <w:color w:val="000000" w:themeColor="text1"/>
          <w:sz w:val="44"/>
          <w:szCs w:val="44"/>
          <w14:textFill>
            <w14:solidFill>
              <w14:schemeClr w14:val="tx1"/>
            </w14:solidFill>
          </w14:textFill>
        </w:rPr>
      </w:pPr>
      <w:r>
        <w:rPr>
          <w:rFonts w:hint="eastAsia" w:ascii="方正黑体_GBK" w:hAnsi="方正黑体_GBK" w:eastAsia="方正黑体_GBK" w:cs="方正黑体_GBK"/>
          <w:color w:val="000000" w:themeColor="text1"/>
          <w:sz w:val="44"/>
          <w:szCs w:val="44"/>
          <w14:textFill>
            <w14:solidFill>
              <w14:schemeClr w14:val="tx1"/>
            </w14:solidFill>
          </w14:textFill>
        </w:rPr>
        <w:t>响应文件编制要求</w:t>
      </w:r>
    </w:p>
    <w:p w14:paraId="7B684212">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40D4EB91">
      <w:pPr>
        <w:adjustRightInd w:val="0"/>
        <w:snapToGrid w:val="0"/>
        <w:spacing w:line="360" w:lineRule="auto"/>
        <w:ind w:firstLine="643" w:firstLineChars="2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一、响应文件封面</w:t>
      </w:r>
    </w:p>
    <w:p w14:paraId="5A7D88F5">
      <w:pPr>
        <w:adjustRightInd w:val="0"/>
        <w:snapToGrid w:val="0"/>
        <w:spacing w:line="360" w:lineRule="auto"/>
        <w:ind w:firstLine="643" w:firstLineChars="2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二、经济部分</w:t>
      </w:r>
    </w:p>
    <w:p w14:paraId="393A68C7">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（一）报价函</w:t>
      </w:r>
    </w:p>
    <w:p w14:paraId="05BEA177">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（二）明细报价表</w:t>
      </w:r>
    </w:p>
    <w:p w14:paraId="76E3CA68">
      <w:pPr>
        <w:adjustRightInd w:val="0"/>
        <w:snapToGrid w:val="0"/>
        <w:spacing w:line="360" w:lineRule="auto"/>
        <w:ind w:firstLine="643" w:firstLineChars="2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三、技术部分</w:t>
      </w:r>
    </w:p>
    <w:p w14:paraId="29FE8F58">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（一）技术服务方案</w:t>
      </w:r>
    </w:p>
    <w:p w14:paraId="04E9537C">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（二）技术响应偏离表</w:t>
      </w:r>
    </w:p>
    <w:p w14:paraId="19CC98F2">
      <w:pPr>
        <w:adjustRightInd w:val="0"/>
        <w:snapToGrid w:val="0"/>
        <w:spacing w:line="360" w:lineRule="auto"/>
        <w:ind w:firstLine="643" w:firstLineChars="2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四、商务部分</w:t>
      </w:r>
    </w:p>
    <w:p w14:paraId="519ABB8A">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（一）评分商务部分要求提供的相关证明材料</w:t>
      </w:r>
    </w:p>
    <w:p w14:paraId="06278F6C">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（二）商务响应偏离表</w:t>
      </w:r>
    </w:p>
    <w:p w14:paraId="12A7E5E4">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（三）其它优惠承诺（格式自定）</w:t>
      </w:r>
    </w:p>
    <w:p w14:paraId="324023A9">
      <w:pPr>
        <w:adjustRightInd w:val="0"/>
        <w:snapToGrid w:val="0"/>
        <w:spacing w:line="360" w:lineRule="auto"/>
        <w:ind w:firstLine="643" w:firstLineChars="2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五、资格条件</w:t>
      </w:r>
    </w:p>
    <w:p w14:paraId="7ED83BE7">
      <w:pPr>
        <w:adjustRightInd w:val="0"/>
        <w:snapToGrid w:val="0"/>
        <w:spacing w:line="360" w:lineRule="auto"/>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p>
    <w:p w14:paraId="6D5369E7">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1D379EDC">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21ED62CD">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406869CE">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591ABB58">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00F0D365">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3134F950">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p>
    <w:p w14:paraId="023CBB17">
      <w:pPr>
        <w:spacing w:line="360" w:lineRule="auto"/>
        <w:ind w:left="420" w:leftChars="200" w:firstLine="562"/>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项目名称：</w:t>
      </w:r>
    </w:p>
    <w:p w14:paraId="464FED96">
      <w:pPr>
        <w:rPr>
          <w:rFonts w:ascii="宋体" w:hAnsi="宋体" w:cs="宋体"/>
          <w:b/>
          <w:bCs/>
          <w:color w:val="000000" w:themeColor="text1"/>
          <w:sz w:val="96"/>
          <w:szCs w:val="96"/>
          <w14:textFill>
            <w14:solidFill>
              <w14:schemeClr w14:val="tx1"/>
            </w14:solidFill>
          </w14:textFill>
        </w:rPr>
      </w:pPr>
    </w:p>
    <w:p w14:paraId="545A981A">
      <w:pPr>
        <w:jc w:val="center"/>
        <w:rPr>
          <w:rFonts w:ascii="宋体" w:hAnsi="宋体" w:cs="宋体"/>
          <w:color w:val="000000" w:themeColor="text1"/>
          <w:sz w:val="96"/>
          <w:szCs w:val="96"/>
          <w14:textFill>
            <w14:solidFill>
              <w14:schemeClr w14:val="tx1"/>
            </w14:solidFill>
          </w14:textFill>
        </w:rPr>
      </w:pPr>
      <w:r>
        <w:rPr>
          <w:rFonts w:hint="eastAsia" w:ascii="宋体" w:hAnsi="宋体" w:cs="宋体"/>
          <w:color w:val="000000" w:themeColor="text1"/>
          <w:sz w:val="96"/>
          <w:szCs w:val="96"/>
          <w14:textFill>
            <w14:solidFill>
              <w14:schemeClr w14:val="tx1"/>
            </w14:solidFill>
          </w14:textFill>
        </w:rPr>
        <w:t>响</w:t>
      </w:r>
    </w:p>
    <w:p w14:paraId="6D819E64">
      <w:pPr>
        <w:jc w:val="center"/>
        <w:rPr>
          <w:rFonts w:ascii="宋体" w:hAnsi="宋体" w:cs="宋体"/>
          <w:color w:val="000000" w:themeColor="text1"/>
          <w:sz w:val="96"/>
          <w:szCs w:val="96"/>
          <w14:textFill>
            <w14:solidFill>
              <w14:schemeClr w14:val="tx1"/>
            </w14:solidFill>
          </w14:textFill>
        </w:rPr>
      </w:pPr>
      <w:r>
        <w:rPr>
          <w:rFonts w:hint="eastAsia" w:ascii="宋体" w:hAnsi="宋体" w:cs="宋体"/>
          <w:color w:val="000000" w:themeColor="text1"/>
          <w:sz w:val="96"/>
          <w:szCs w:val="96"/>
          <w14:textFill>
            <w14:solidFill>
              <w14:schemeClr w14:val="tx1"/>
            </w14:solidFill>
          </w14:textFill>
        </w:rPr>
        <w:t>应</w:t>
      </w:r>
    </w:p>
    <w:p w14:paraId="57849E92">
      <w:pPr>
        <w:jc w:val="center"/>
        <w:rPr>
          <w:rFonts w:ascii="宋体" w:hAnsi="宋体" w:cs="宋体"/>
          <w:color w:val="000000" w:themeColor="text1"/>
          <w:sz w:val="96"/>
          <w:szCs w:val="96"/>
          <w14:textFill>
            <w14:solidFill>
              <w14:schemeClr w14:val="tx1"/>
            </w14:solidFill>
          </w14:textFill>
        </w:rPr>
      </w:pPr>
      <w:r>
        <w:rPr>
          <w:rFonts w:hint="eastAsia" w:ascii="宋体" w:hAnsi="宋体" w:cs="宋体"/>
          <w:color w:val="000000" w:themeColor="text1"/>
          <w:sz w:val="96"/>
          <w:szCs w:val="96"/>
          <w14:textFill>
            <w14:solidFill>
              <w14:schemeClr w14:val="tx1"/>
            </w14:solidFill>
          </w14:textFill>
        </w:rPr>
        <w:t>文</w:t>
      </w:r>
    </w:p>
    <w:p w14:paraId="72D468D3">
      <w:pPr>
        <w:jc w:val="center"/>
        <w:rPr>
          <w:rFonts w:ascii="宋体" w:hAnsi="宋体" w:cs="宋体"/>
          <w:color w:val="000000" w:themeColor="text1"/>
          <w:sz w:val="96"/>
          <w:szCs w:val="96"/>
          <w14:textFill>
            <w14:solidFill>
              <w14:schemeClr w14:val="tx1"/>
            </w14:solidFill>
          </w14:textFill>
        </w:rPr>
      </w:pPr>
      <w:r>
        <w:rPr>
          <w:rFonts w:hint="eastAsia" w:ascii="宋体" w:hAnsi="宋体" w:cs="宋体"/>
          <w:color w:val="000000" w:themeColor="text1"/>
          <w:sz w:val="96"/>
          <w:szCs w:val="96"/>
          <w14:textFill>
            <w14:solidFill>
              <w14:schemeClr w14:val="tx1"/>
            </w14:solidFill>
          </w14:textFill>
        </w:rPr>
        <w:t>件</w:t>
      </w:r>
    </w:p>
    <w:p w14:paraId="6255BB01">
      <w:pPr>
        <w:spacing w:line="360" w:lineRule="auto"/>
        <w:rPr>
          <w:rFonts w:ascii="宋体" w:hAnsi="宋体" w:cs="宋体"/>
          <w:b/>
          <w:bCs/>
          <w:color w:val="000000" w:themeColor="text1"/>
          <w:sz w:val="28"/>
          <w:szCs w:val="28"/>
          <w14:textFill>
            <w14:solidFill>
              <w14:schemeClr w14:val="tx1"/>
            </w14:solidFill>
          </w14:textFill>
        </w:rPr>
      </w:pPr>
    </w:p>
    <w:p w14:paraId="5ABA5649">
      <w:pPr>
        <w:spacing w:line="360" w:lineRule="auto"/>
        <w:rPr>
          <w:rFonts w:ascii="宋体" w:hAnsi="宋体" w:cs="宋体"/>
          <w:b/>
          <w:bCs/>
          <w:color w:val="000000" w:themeColor="text1"/>
          <w:sz w:val="28"/>
          <w:szCs w:val="28"/>
          <w14:textFill>
            <w14:solidFill>
              <w14:schemeClr w14:val="tx1"/>
            </w14:solidFill>
          </w14:textFill>
        </w:rPr>
      </w:pPr>
    </w:p>
    <w:p w14:paraId="7421FA97">
      <w:pPr>
        <w:spacing w:line="360" w:lineRule="auto"/>
        <w:ind w:left="1050" w:leftChars="5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供应商名称：</w:t>
      </w:r>
    </w:p>
    <w:p w14:paraId="6EB0DB08">
      <w:pPr>
        <w:spacing w:line="360" w:lineRule="auto"/>
        <w:ind w:left="1050" w:leftChars="5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供应商地址：</w:t>
      </w:r>
    </w:p>
    <w:p w14:paraId="7F624FB7">
      <w:pPr>
        <w:spacing w:line="360" w:lineRule="auto"/>
        <w:ind w:left="1050" w:leftChars="500"/>
        <w:rPr>
          <w:rFonts w:hint="eastAsia" w:ascii="方正仿宋_GBK" w:hAnsi="方正仿宋_GBK" w:eastAsia="方正仿宋_GBK" w:cs="方正仿宋_GBK"/>
          <w:b/>
          <w:bCs/>
          <w:color w:val="000000" w:themeColor="text1"/>
          <w:sz w:val="32"/>
          <w:szCs w:val="32"/>
          <w14:textFill>
            <w14:solidFill>
              <w14:schemeClr w14:val="tx1"/>
            </w14:solidFill>
          </w14:textFill>
        </w:rPr>
      </w:pPr>
      <w:r>
        <w:rPr>
          <w:rFonts w:hint="eastAsia" w:ascii="方正仿宋_GBK" w:hAnsi="方正仿宋_GBK" w:eastAsia="方正仿宋_GBK" w:cs="方正仿宋_GBK"/>
          <w:b/>
          <w:bCs/>
          <w:color w:val="000000" w:themeColor="text1"/>
          <w:sz w:val="32"/>
          <w:szCs w:val="32"/>
          <w14:textFill>
            <w14:solidFill>
              <w14:schemeClr w14:val="tx1"/>
            </w14:solidFill>
          </w14:textFill>
        </w:rPr>
        <w:t>日期：</w:t>
      </w:r>
    </w:p>
    <w:p w14:paraId="16CDA6F1">
      <w:pPr>
        <w:rPr>
          <w:rFonts w:ascii="宋体" w:hAnsi="宋体" w:cs="宋体"/>
          <w:color w:val="000000" w:themeColor="text1"/>
          <w14:textFill>
            <w14:solidFill>
              <w14:schemeClr w14:val="tx1"/>
            </w14:solidFill>
          </w14:textFill>
        </w:rPr>
      </w:pPr>
    </w:p>
    <w:p w14:paraId="0194F985">
      <w:pPr>
        <w:pStyle w:val="12"/>
        <w:ind w:left="3360" w:firstLine="480"/>
        <w:rPr>
          <w:rFonts w:ascii="宋体" w:hAnsi="宋体" w:eastAsia="宋体" w:cs="宋体"/>
          <w:color w:val="000000" w:themeColor="text1"/>
          <w14:textFill>
            <w14:solidFill>
              <w14:schemeClr w14:val="tx1"/>
            </w14:solidFill>
          </w14:textFill>
        </w:rPr>
      </w:pPr>
    </w:p>
    <w:p w14:paraId="578D9E2C">
      <w:pPr>
        <w:ind w:firstLine="480"/>
        <w:rPr>
          <w:rFonts w:ascii="宋体" w:hAnsi="宋体" w:cs="宋体"/>
          <w:color w:val="000000" w:themeColor="text1"/>
          <w14:textFill>
            <w14:solidFill>
              <w14:schemeClr w14:val="tx1"/>
            </w14:solidFill>
          </w14:textFill>
        </w:rPr>
      </w:pPr>
    </w:p>
    <w:p w14:paraId="53DD7F39">
      <w:pPr>
        <w:pStyle w:val="12"/>
        <w:ind w:left="3360" w:firstLine="480"/>
        <w:rPr>
          <w:rFonts w:ascii="宋体" w:hAnsi="宋体" w:eastAsia="宋体" w:cs="宋体"/>
          <w:color w:val="000000" w:themeColor="text1"/>
          <w14:textFill>
            <w14:solidFill>
              <w14:schemeClr w14:val="tx1"/>
            </w14:solidFill>
          </w14:textFill>
        </w:rPr>
      </w:pPr>
    </w:p>
    <w:p w14:paraId="588BA9D6">
      <w:pPr>
        <w:ind w:firstLine="480"/>
        <w:rPr>
          <w:rFonts w:ascii="宋体" w:hAnsi="宋体" w:cs="宋体"/>
          <w:color w:val="000000" w:themeColor="text1"/>
          <w14:textFill>
            <w14:solidFill>
              <w14:schemeClr w14:val="tx1"/>
            </w14:solidFill>
          </w14:textFill>
        </w:rPr>
      </w:pPr>
    </w:p>
    <w:p w14:paraId="65A26E0F">
      <w:pPr>
        <w:pStyle w:val="12"/>
        <w:ind w:left="3360" w:firstLine="480"/>
        <w:rPr>
          <w:rFonts w:ascii="宋体" w:hAnsi="宋体" w:eastAsia="宋体" w:cs="宋体"/>
          <w:color w:val="000000" w:themeColor="text1"/>
          <w14:textFill>
            <w14:solidFill>
              <w14:schemeClr w14:val="tx1"/>
            </w14:solidFill>
          </w14:textFill>
        </w:rPr>
      </w:pPr>
    </w:p>
    <w:p w14:paraId="66887E0A">
      <w:pPr>
        <w:rPr>
          <w:color w:val="000000" w:themeColor="text1"/>
          <w14:textFill>
            <w14:solidFill>
              <w14:schemeClr w14:val="tx1"/>
            </w14:solidFill>
          </w14:textFill>
        </w:rPr>
      </w:pPr>
    </w:p>
    <w:p w14:paraId="57C3F6DA">
      <w:pPr>
        <w:pStyle w:val="7"/>
        <w:rPr>
          <w:color w:val="000000" w:themeColor="text1"/>
          <w14:textFill>
            <w14:solidFill>
              <w14:schemeClr w14:val="tx1"/>
            </w14:solidFill>
          </w14:textFill>
        </w:rPr>
      </w:pPr>
    </w:p>
    <w:p w14:paraId="603B0A6B">
      <w:pPr>
        <w:pStyle w:val="12"/>
        <w:ind w:left="0" w:leftChars="0" w:firstLine="0" w:firstLineChars="0"/>
        <w:rPr>
          <w:rFonts w:ascii="宋体" w:hAnsi="宋体" w:eastAsia="宋体" w:cs="宋体"/>
          <w:color w:val="000000" w:themeColor="text1"/>
          <w14:textFill>
            <w14:solidFill>
              <w14:schemeClr w14:val="tx1"/>
            </w14:solidFill>
          </w14:textFill>
        </w:rPr>
      </w:pPr>
    </w:p>
    <w:p w14:paraId="7576F1A4">
      <w:pPr>
        <w:spacing w:line="520" w:lineRule="exact"/>
        <w:ind w:firstLine="643" w:firstLineChars="200"/>
        <w:rPr>
          <w:rFonts w:hint="eastAsia" w:ascii="方正黑体_GBK" w:hAnsi="方正黑体_GBK" w:eastAsia="方正黑体_GBK" w:cs="方正黑体_GBK"/>
          <w:b/>
          <w:color w:val="000000" w:themeColor="text1"/>
          <w:sz w:val="32"/>
          <w:szCs w:val="32"/>
          <w14:textFill>
            <w14:solidFill>
              <w14:schemeClr w14:val="tx1"/>
            </w14:solidFill>
          </w14:textFill>
        </w:rPr>
      </w:pPr>
      <w:bookmarkStart w:id="3" w:name="_Toc17074"/>
      <w:r>
        <w:rPr>
          <w:rFonts w:hint="eastAsia" w:ascii="方正黑体_GBK" w:hAnsi="方正黑体_GBK" w:eastAsia="方正黑体_GBK" w:cs="方正黑体_GBK"/>
          <w:b/>
          <w:color w:val="000000" w:themeColor="text1"/>
          <w:sz w:val="32"/>
          <w:szCs w:val="32"/>
          <w14:textFill>
            <w14:solidFill>
              <w14:schemeClr w14:val="tx1"/>
            </w14:solidFill>
          </w14:textFill>
        </w:rPr>
        <w:t>二、经济部分</w:t>
      </w:r>
    </w:p>
    <w:p w14:paraId="7A9EBD6D">
      <w:pPr>
        <w:tabs>
          <w:tab w:val="left" w:pos="6300"/>
        </w:tabs>
        <w:snapToGrid w:val="0"/>
        <w:spacing w:line="520" w:lineRule="exact"/>
        <w:ind w:firstLine="48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（一）报价函</w:t>
      </w:r>
    </w:p>
    <w:p w14:paraId="33EC0180">
      <w:pPr>
        <w:tabs>
          <w:tab w:val="left" w:pos="6300"/>
        </w:tabs>
        <w:snapToGrid w:val="0"/>
        <w:spacing w:line="520" w:lineRule="exact"/>
        <w:ind w:firstLine="562"/>
        <w:jc w:val="center"/>
        <w:outlineLvl w:val="0"/>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报价函</w:t>
      </w:r>
    </w:p>
    <w:p w14:paraId="59ACE997">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_________________（采购人名称）：</w:t>
      </w:r>
    </w:p>
    <w:p w14:paraId="1669EC6A">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我方收到____________________________（项目名称）的</w:t>
      </w:r>
      <w:r>
        <w:rPr>
          <w:rFonts w:hint="eastAsia" w:ascii="方正仿宋_GBK" w:hAnsi="方正仿宋_GBK" w:eastAsia="方正仿宋_GBK" w:cs="方正仿宋_GBK"/>
          <w:bCs/>
          <w:color w:val="000000" w:themeColor="text1"/>
          <w:sz w:val="32"/>
          <w:szCs w:val="32"/>
          <w14:textFill>
            <w14:solidFill>
              <w14:schemeClr w14:val="tx1"/>
            </w14:solidFill>
          </w14:textFill>
        </w:rPr>
        <w:t>采购招标比选</w:t>
      </w:r>
      <w:r>
        <w:rPr>
          <w:rFonts w:hint="eastAsia" w:ascii="方正仿宋_GBK" w:hAnsi="方正仿宋_GBK" w:eastAsia="方正仿宋_GBK" w:cs="方正仿宋_GBK"/>
          <w:color w:val="000000" w:themeColor="text1"/>
          <w:sz w:val="32"/>
          <w:szCs w:val="32"/>
          <w14:textFill>
            <w14:solidFill>
              <w14:schemeClr w14:val="tx1"/>
            </w14:solidFill>
          </w14:textFill>
        </w:rPr>
        <w:t>文件，经详细研究，决定参加该项目的比选采购。</w:t>
      </w:r>
    </w:p>
    <w:p w14:paraId="4D8FADD3">
      <w:pPr>
        <w:tabs>
          <w:tab w:val="left" w:pos="0"/>
          <w:tab w:val="left" w:pos="6300"/>
        </w:tabs>
        <w:snapToGrid w:val="0"/>
        <w:spacing w:line="520" w:lineRule="exact"/>
        <w:ind w:left="401" w:leftChars="191"/>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1、愿意按照竞争性磋商文件中的一切要求，提供本项目的技术和运营服务，项目总报价为____________________________。以我公司最后报价为准。</w:t>
      </w:r>
    </w:p>
    <w:p w14:paraId="56000FE4">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2、我方现提交的响应文件为：响应文件正本一份，副本二份。</w:t>
      </w:r>
    </w:p>
    <w:p w14:paraId="48136EDB">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3、我方承诺：本次磋商的有效期为90天。</w:t>
      </w:r>
    </w:p>
    <w:p w14:paraId="2007DEDE">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4、我方完全理解和接受贵方采购文件的一切规定和要求及评审办法。</w:t>
      </w:r>
    </w:p>
    <w:p w14:paraId="0F4A30D7">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6、我方若成为成交供应商，将按照最终磋商结果签订合同，并且严格履行合同义务。本承诺函将成为合同不可分割的一部分，与合同具有同等的法律效力。</w:t>
      </w:r>
    </w:p>
    <w:p w14:paraId="64367EA3">
      <w:pPr>
        <w:tabs>
          <w:tab w:val="left" w:pos="6300"/>
        </w:tabs>
        <w:snapToGrid w:val="0"/>
        <w:spacing w:line="44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7、我方理解，最低报价不是成交的唯一条件。</w:t>
      </w:r>
    </w:p>
    <w:p w14:paraId="5DD78D10">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8、我方未为采购项目提供整体设计、规范编制或者项目管理、监理、检测等服务。</w:t>
      </w:r>
    </w:p>
    <w:p w14:paraId="633F6F5E">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3824A841">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供应商（公章）：</w:t>
      </w:r>
    </w:p>
    <w:p w14:paraId="04419958">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地址：  </w:t>
      </w:r>
    </w:p>
    <w:p w14:paraId="46CC92D5">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电话：                         传真：</w:t>
      </w:r>
    </w:p>
    <w:p w14:paraId="3FCC7BC6">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网址：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邮编：</w:t>
      </w:r>
    </w:p>
    <w:p w14:paraId="2070B82D">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w:t>
      </w:r>
    </w:p>
    <w:p w14:paraId="12CD81E7">
      <w:pPr>
        <w:tabs>
          <w:tab w:val="left" w:pos="6300"/>
        </w:tabs>
        <w:snapToGrid w:val="0"/>
        <w:spacing w:line="520" w:lineRule="exact"/>
        <w:ind w:firstLine="48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14:paraId="72F0FC64">
      <w:pPr>
        <w:tabs>
          <w:tab w:val="left" w:pos="6300"/>
        </w:tabs>
        <w:snapToGrid w:val="0"/>
        <w:spacing w:line="520" w:lineRule="exact"/>
        <w:ind w:firstLine="1049" w:firstLineChars="328"/>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p>
    <w:p w14:paraId="394C467A">
      <w:pPr>
        <w:tabs>
          <w:tab w:val="left" w:pos="6300"/>
        </w:tabs>
        <w:snapToGrid w:val="0"/>
        <w:spacing w:line="520" w:lineRule="exact"/>
        <w:ind w:firstLine="5843" w:firstLineChars="1826"/>
        <w:rPr>
          <w:rFonts w:hint="eastAsia" w:ascii="方正仿宋_GBK" w:hAnsi="方正仿宋_GBK" w:eastAsia="方正仿宋_GBK" w:cs="方正仿宋_GBK"/>
          <w:color w:val="000000" w:themeColor="text1"/>
          <w:sz w:val="32"/>
          <w:szCs w:val="32"/>
          <w14:textFill>
            <w14:solidFill>
              <w14:schemeClr w14:val="tx1"/>
            </w14:solidFill>
          </w14:textFill>
        </w:rPr>
        <w:sectPr>
          <w:footerReference r:id="rId3" w:type="default"/>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0F5CBF3C">
      <w:pPr>
        <w:tabs>
          <w:tab w:val="left" w:pos="2895"/>
        </w:tabs>
        <w:spacing w:line="360" w:lineRule="auto"/>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（二）明细报价表</w:t>
      </w:r>
    </w:p>
    <w:p w14:paraId="10200009">
      <w:pPr>
        <w:ind w:firstLine="482"/>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明细报价表</w:t>
      </w:r>
    </w:p>
    <w:p w14:paraId="1CEB802D">
      <w:pPr>
        <w:spacing w:line="360" w:lineRule="auto"/>
        <w:ind w:firstLine="480"/>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414"/>
        <w:gridCol w:w="2355"/>
        <w:gridCol w:w="1275"/>
        <w:gridCol w:w="1293"/>
        <w:gridCol w:w="1262"/>
      </w:tblGrid>
      <w:tr w14:paraId="0BA0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63" w:type="dxa"/>
            <w:vAlign w:val="center"/>
          </w:tcPr>
          <w:p w14:paraId="64C025A2">
            <w:pP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414" w:type="dxa"/>
            <w:vAlign w:val="center"/>
          </w:tcPr>
          <w:p w14:paraId="329D5814">
            <w:pPr>
              <w:ind w:firstLine="422"/>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名称</w:t>
            </w:r>
          </w:p>
        </w:tc>
        <w:tc>
          <w:tcPr>
            <w:tcW w:w="2355" w:type="dxa"/>
            <w:vAlign w:val="center"/>
          </w:tcPr>
          <w:p w14:paraId="2D4B0EB8">
            <w:pPr>
              <w:ind w:firstLine="422"/>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相关信息</w:t>
            </w:r>
          </w:p>
        </w:tc>
        <w:tc>
          <w:tcPr>
            <w:tcW w:w="1275" w:type="dxa"/>
            <w:vAlign w:val="center"/>
          </w:tcPr>
          <w:p w14:paraId="64FB31E5">
            <w:pPr>
              <w:ind w:firstLine="422"/>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w:t>
            </w:r>
          </w:p>
        </w:tc>
        <w:tc>
          <w:tcPr>
            <w:tcW w:w="1293" w:type="dxa"/>
            <w:vAlign w:val="center"/>
          </w:tcPr>
          <w:p w14:paraId="3CF3B8D9">
            <w:pPr>
              <w:ind w:firstLine="422"/>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合计</w:t>
            </w:r>
          </w:p>
        </w:tc>
        <w:tc>
          <w:tcPr>
            <w:tcW w:w="1262" w:type="dxa"/>
            <w:vAlign w:val="center"/>
          </w:tcPr>
          <w:p w14:paraId="4C28B0CF">
            <w:pPr>
              <w:ind w:firstLine="422"/>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备注</w:t>
            </w:r>
          </w:p>
        </w:tc>
      </w:tr>
      <w:tr w14:paraId="0E43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963" w:type="dxa"/>
            <w:vAlign w:val="center"/>
          </w:tcPr>
          <w:p w14:paraId="7361355E">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14" w:type="dxa"/>
            <w:vAlign w:val="center"/>
          </w:tcPr>
          <w:p w14:paraId="27220DAC">
            <w:pPr>
              <w:ind w:firstLine="420"/>
              <w:jc w:val="center"/>
              <w:rPr>
                <w:rFonts w:ascii="宋体" w:hAnsi="宋体" w:cs="宋体"/>
                <w:color w:val="000000" w:themeColor="text1"/>
                <w:szCs w:val="21"/>
                <w14:textFill>
                  <w14:solidFill>
                    <w14:schemeClr w14:val="tx1"/>
                  </w14:solidFill>
                </w14:textFill>
              </w:rPr>
            </w:pPr>
          </w:p>
        </w:tc>
        <w:tc>
          <w:tcPr>
            <w:tcW w:w="2355" w:type="dxa"/>
          </w:tcPr>
          <w:p w14:paraId="5D24AF9E">
            <w:pPr>
              <w:ind w:firstLine="420"/>
              <w:jc w:val="center"/>
              <w:rPr>
                <w:rFonts w:ascii="宋体" w:hAnsi="宋体" w:cs="宋体"/>
                <w:color w:val="000000" w:themeColor="text1"/>
                <w:szCs w:val="21"/>
                <w14:textFill>
                  <w14:solidFill>
                    <w14:schemeClr w14:val="tx1"/>
                  </w14:solidFill>
                </w14:textFill>
              </w:rPr>
            </w:pPr>
          </w:p>
        </w:tc>
        <w:tc>
          <w:tcPr>
            <w:tcW w:w="1275" w:type="dxa"/>
          </w:tcPr>
          <w:p w14:paraId="0ECAA7FB">
            <w:pPr>
              <w:ind w:firstLine="420"/>
              <w:jc w:val="center"/>
              <w:rPr>
                <w:rFonts w:ascii="宋体" w:hAnsi="宋体" w:cs="宋体"/>
                <w:color w:val="000000" w:themeColor="text1"/>
                <w:szCs w:val="21"/>
                <w14:textFill>
                  <w14:solidFill>
                    <w14:schemeClr w14:val="tx1"/>
                  </w14:solidFill>
                </w14:textFill>
              </w:rPr>
            </w:pPr>
          </w:p>
        </w:tc>
        <w:tc>
          <w:tcPr>
            <w:tcW w:w="1293" w:type="dxa"/>
          </w:tcPr>
          <w:p w14:paraId="2E75A319">
            <w:pPr>
              <w:ind w:firstLine="420"/>
              <w:jc w:val="center"/>
              <w:rPr>
                <w:rFonts w:ascii="宋体" w:hAnsi="宋体" w:cs="宋体"/>
                <w:color w:val="000000" w:themeColor="text1"/>
                <w:szCs w:val="21"/>
                <w14:textFill>
                  <w14:solidFill>
                    <w14:schemeClr w14:val="tx1"/>
                  </w14:solidFill>
                </w14:textFill>
              </w:rPr>
            </w:pPr>
          </w:p>
        </w:tc>
        <w:tc>
          <w:tcPr>
            <w:tcW w:w="1262" w:type="dxa"/>
            <w:vMerge w:val="restart"/>
            <w:vAlign w:val="center"/>
          </w:tcPr>
          <w:p w14:paraId="717FB46A">
            <w:pPr>
              <w:ind w:firstLine="420"/>
              <w:jc w:val="center"/>
              <w:rPr>
                <w:rFonts w:ascii="宋体" w:hAnsi="宋体" w:cs="宋体"/>
                <w:color w:val="000000" w:themeColor="text1"/>
                <w:szCs w:val="21"/>
                <w14:textFill>
                  <w14:solidFill>
                    <w14:schemeClr w14:val="tx1"/>
                  </w14:solidFill>
                </w14:textFill>
              </w:rPr>
            </w:pPr>
          </w:p>
        </w:tc>
      </w:tr>
      <w:tr w14:paraId="62FC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AD05A8E">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2414" w:type="dxa"/>
            <w:vAlign w:val="center"/>
          </w:tcPr>
          <w:p w14:paraId="2DAEAD62">
            <w:pPr>
              <w:ind w:firstLine="420"/>
              <w:jc w:val="center"/>
              <w:rPr>
                <w:rFonts w:ascii="宋体" w:hAnsi="宋体" w:cs="宋体"/>
                <w:color w:val="000000" w:themeColor="text1"/>
                <w:szCs w:val="21"/>
                <w14:textFill>
                  <w14:solidFill>
                    <w14:schemeClr w14:val="tx1"/>
                  </w14:solidFill>
                </w14:textFill>
              </w:rPr>
            </w:pPr>
          </w:p>
        </w:tc>
        <w:tc>
          <w:tcPr>
            <w:tcW w:w="2355" w:type="dxa"/>
          </w:tcPr>
          <w:p w14:paraId="58641E48">
            <w:pPr>
              <w:ind w:firstLine="420"/>
              <w:jc w:val="center"/>
              <w:rPr>
                <w:rFonts w:ascii="宋体" w:hAnsi="宋体" w:cs="宋体"/>
                <w:color w:val="000000" w:themeColor="text1"/>
                <w:szCs w:val="21"/>
                <w14:textFill>
                  <w14:solidFill>
                    <w14:schemeClr w14:val="tx1"/>
                  </w14:solidFill>
                </w14:textFill>
              </w:rPr>
            </w:pPr>
          </w:p>
        </w:tc>
        <w:tc>
          <w:tcPr>
            <w:tcW w:w="1275" w:type="dxa"/>
          </w:tcPr>
          <w:p w14:paraId="3DB4507D">
            <w:pPr>
              <w:ind w:firstLine="420"/>
              <w:jc w:val="center"/>
              <w:rPr>
                <w:rFonts w:ascii="宋体" w:hAnsi="宋体" w:cs="宋体"/>
                <w:color w:val="000000" w:themeColor="text1"/>
                <w:szCs w:val="21"/>
                <w14:textFill>
                  <w14:solidFill>
                    <w14:schemeClr w14:val="tx1"/>
                  </w14:solidFill>
                </w14:textFill>
              </w:rPr>
            </w:pPr>
          </w:p>
        </w:tc>
        <w:tc>
          <w:tcPr>
            <w:tcW w:w="1293" w:type="dxa"/>
          </w:tcPr>
          <w:p w14:paraId="0F43FF9F">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73D6B998">
            <w:pPr>
              <w:ind w:firstLine="420"/>
              <w:jc w:val="center"/>
              <w:rPr>
                <w:rFonts w:ascii="宋体" w:hAnsi="宋体" w:cs="宋体"/>
                <w:color w:val="000000" w:themeColor="text1"/>
                <w:szCs w:val="21"/>
                <w14:textFill>
                  <w14:solidFill>
                    <w14:schemeClr w14:val="tx1"/>
                  </w14:solidFill>
                </w14:textFill>
              </w:rPr>
            </w:pPr>
          </w:p>
        </w:tc>
      </w:tr>
      <w:tr w14:paraId="4DD4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07412BD">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2414" w:type="dxa"/>
            <w:vAlign w:val="center"/>
          </w:tcPr>
          <w:p w14:paraId="7341708A">
            <w:pPr>
              <w:ind w:firstLine="420"/>
              <w:jc w:val="center"/>
              <w:rPr>
                <w:rFonts w:ascii="宋体" w:hAnsi="宋体" w:cs="宋体"/>
                <w:color w:val="000000" w:themeColor="text1"/>
                <w:szCs w:val="21"/>
                <w14:textFill>
                  <w14:solidFill>
                    <w14:schemeClr w14:val="tx1"/>
                  </w14:solidFill>
                </w14:textFill>
              </w:rPr>
            </w:pPr>
          </w:p>
        </w:tc>
        <w:tc>
          <w:tcPr>
            <w:tcW w:w="2355" w:type="dxa"/>
          </w:tcPr>
          <w:p w14:paraId="2591F165">
            <w:pPr>
              <w:ind w:firstLine="420"/>
              <w:jc w:val="center"/>
              <w:rPr>
                <w:rFonts w:ascii="宋体" w:hAnsi="宋体" w:cs="宋体"/>
                <w:color w:val="000000" w:themeColor="text1"/>
                <w:szCs w:val="21"/>
                <w14:textFill>
                  <w14:solidFill>
                    <w14:schemeClr w14:val="tx1"/>
                  </w14:solidFill>
                </w14:textFill>
              </w:rPr>
            </w:pPr>
          </w:p>
        </w:tc>
        <w:tc>
          <w:tcPr>
            <w:tcW w:w="1275" w:type="dxa"/>
          </w:tcPr>
          <w:p w14:paraId="09510AB7">
            <w:pPr>
              <w:ind w:firstLine="420"/>
              <w:jc w:val="center"/>
              <w:rPr>
                <w:rFonts w:ascii="宋体" w:hAnsi="宋体" w:cs="宋体"/>
                <w:color w:val="000000" w:themeColor="text1"/>
                <w:szCs w:val="21"/>
                <w14:textFill>
                  <w14:solidFill>
                    <w14:schemeClr w14:val="tx1"/>
                  </w14:solidFill>
                </w14:textFill>
              </w:rPr>
            </w:pPr>
          </w:p>
        </w:tc>
        <w:tc>
          <w:tcPr>
            <w:tcW w:w="1293" w:type="dxa"/>
          </w:tcPr>
          <w:p w14:paraId="25C1E498">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6EE6BD47">
            <w:pPr>
              <w:ind w:firstLine="420"/>
              <w:jc w:val="center"/>
              <w:rPr>
                <w:rFonts w:ascii="宋体" w:hAnsi="宋体" w:cs="宋体"/>
                <w:color w:val="000000" w:themeColor="text1"/>
                <w:szCs w:val="21"/>
                <w14:textFill>
                  <w14:solidFill>
                    <w14:schemeClr w14:val="tx1"/>
                  </w14:solidFill>
                </w14:textFill>
              </w:rPr>
            </w:pPr>
          </w:p>
        </w:tc>
      </w:tr>
      <w:tr w14:paraId="25DB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AD6437A">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2414" w:type="dxa"/>
            <w:vAlign w:val="center"/>
          </w:tcPr>
          <w:p w14:paraId="7B550C65">
            <w:pPr>
              <w:ind w:firstLine="420"/>
              <w:jc w:val="center"/>
              <w:rPr>
                <w:rFonts w:ascii="宋体" w:hAnsi="宋体" w:cs="宋体"/>
                <w:color w:val="000000" w:themeColor="text1"/>
                <w:szCs w:val="21"/>
                <w14:textFill>
                  <w14:solidFill>
                    <w14:schemeClr w14:val="tx1"/>
                  </w14:solidFill>
                </w14:textFill>
              </w:rPr>
            </w:pPr>
          </w:p>
        </w:tc>
        <w:tc>
          <w:tcPr>
            <w:tcW w:w="2355" w:type="dxa"/>
          </w:tcPr>
          <w:p w14:paraId="1CF9BC65">
            <w:pPr>
              <w:ind w:firstLine="420"/>
              <w:jc w:val="center"/>
              <w:rPr>
                <w:rFonts w:ascii="宋体" w:hAnsi="宋体" w:cs="宋体"/>
                <w:color w:val="000000" w:themeColor="text1"/>
                <w:szCs w:val="21"/>
                <w14:textFill>
                  <w14:solidFill>
                    <w14:schemeClr w14:val="tx1"/>
                  </w14:solidFill>
                </w14:textFill>
              </w:rPr>
            </w:pPr>
          </w:p>
        </w:tc>
        <w:tc>
          <w:tcPr>
            <w:tcW w:w="1275" w:type="dxa"/>
          </w:tcPr>
          <w:p w14:paraId="611C90F9">
            <w:pPr>
              <w:ind w:firstLine="420"/>
              <w:jc w:val="center"/>
              <w:rPr>
                <w:rFonts w:ascii="宋体" w:hAnsi="宋体" w:cs="宋体"/>
                <w:color w:val="000000" w:themeColor="text1"/>
                <w:szCs w:val="21"/>
                <w14:textFill>
                  <w14:solidFill>
                    <w14:schemeClr w14:val="tx1"/>
                  </w14:solidFill>
                </w14:textFill>
              </w:rPr>
            </w:pPr>
          </w:p>
        </w:tc>
        <w:tc>
          <w:tcPr>
            <w:tcW w:w="1293" w:type="dxa"/>
          </w:tcPr>
          <w:p w14:paraId="1DA7B78A">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5AD4E3A5">
            <w:pPr>
              <w:ind w:firstLine="420"/>
              <w:jc w:val="center"/>
              <w:rPr>
                <w:rFonts w:ascii="宋体" w:hAnsi="宋体" w:cs="宋体"/>
                <w:color w:val="000000" w:themeColor="text1"/>
                <w:szCs w:val="21"/>
                <w14:textFill>
                  <w14:solidFill>
                    <w14:schemeClr w14:val="tx1"/>
                  </w14:solidFill>
                </w14:textFill>
              </w:rPr>
            </w:pPr>
          </w:p>
        </w:tc>
      </w:tr>
      <w:tr w14:paraId="7BAFB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22B06F30">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2414" w:type="dxa"/>
            <w:vAlign w:val="center"/>
          </w:tcPr>
          <w:p w14:paraId="7F6D1134">
            <w:pPr>
              <w:ind w:firstLine="420"/>
              <w:jc w:val="center"/>
              <w:rPr>
                <w:rFonts w:ascii="宋体" w:hAnsi="宋体" w:cs="宋体"/>
                <w:color w:val="000000" w:themeColor="text1"/>
                <w:szCs w:val="21"/>
                <w14:textFill>
                  <w14:solidFill>
                    <w14:schemeClr w14:val="tx1"/>
                  </w14:solidFill>
                </w14:textFill>
              </w:rPr>
            </w:pPr>
          </w:p>
        </w:tc>
        <w:tc>
          <w:tcPr>
            <w:tcW w:w="2355" w:type="dxa"/>
          </w:tcPr>
          <w:p w14:paraId="14100DD4">
            <w:pPr>
              <w:ind w:firstLine="420"/>
              <w:jc w:val="center"/>
              <w:rPr>
                <w:rFonts w:ascii="宋体" w:hAnsi="宋体" w:cs="宋体"/>
                <w:color w:val="000000" w:themeColor="text1"/>
                <w:szCs w:val="21"/>
                <w14:textFill>
                  <w14:solidFill>
                    <w14:schemeClr w14:val="tx1"/>
                  </w14:solidFill>
                </w14:textFill>
              </w:rPr>
            </w:pPr>
          </w:p>
        </w:tc>
        <w:tc>
          <w:tcPr>
            <w:tcW w:w="1275" w:type="dxa"/>
          </w:tcPr>
          <w:p w14:paraId="1238F9C2">
            <w:pPr>
              <w:ind w:firstLine="420"/>
              <w:jc w:val="center"/>
              <w:rPr>
                <w:rFonts w:ascii="宋体" w:hAnsi="宋体" w:cs="宋体"/>
                <w:color w:val="000000" w:themeColor="text1"/>
                <w:szCs w:val="21"/>
                <w14:textFill>
                  <w14:solidFill>
                    <w14:schemeClr w14:val="tx1"/>
                  </w14:solidFill>
                </w14:textFill>
              </w:rPr>
            </w:pPr>
          </w:p>
        </w:tc>
        <w:tc>
          <w:tcPr>
            <w:tcW w:w="1293" w:type="dxa"/>
          </w:tcPr>
          <w:p w14:paraId="0FDE9410">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78916A46">
            <w:pPr>
              <w:ind w:firstLine="420"/>
              <w:jc w:val="center"/>
              <w:rPr>
                <w:rFonts w:ascii="宋体" w:hAnsi="宋体" w:cs="宋体"/>
                <w:color w:val="000000" w:themeColor="text1"/>
                <w:szCs w:val="21"/>
                <w14:textFill>
                  <w14:solidFill>
                    <w14:schemeClr w14:val="tx1"/>
                  </w14:solidFill>
                </w14:textFill>
              </w:rPr>
            </w:pPr>
          </w:p>
        </w:tc>
      </w:tr>
      <w:tr w14:paraId="40C6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07467EC8">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2414" w:type="dxa"/>
            <w:vAlign w:val="center"/>
          </w:tcPr>
          <w:p w14:paraId="0F116932">
            <w:pPr>
              <w:ind w:firstLine="420"/>
              <w:jc w:val="center"/>
              <w:rPr>
                <w:rFonts w:ascii="宋体" w:hAnsi="宋体" w:cs="宋体"/>
                <w:color w:val="000000" w:themeColor="text1"/>
                <w:szCs w:val="21"/>
                <w14:textFill>
                  <w14:solidFill>
                    <w14:schemeClr w14:val="tx1"/>
                  </w14:solidFill>
                </w14:textFill>
              </w:rPr>
            </w:pPr>
          </w:p>
        </w:tc>
        <w:tc>
          <w:tcPr>
            <w:tcW w:w="2355" w:type="dxa"/>
          </w:tcPr>
          <w:p w14:paraId="4F69C9F5">
            <w:pPr>
              <w:ind w:firstLine="420"/>
              <w:jc w:val="center"/>
              <w:rPr>
                <w:rFonts w:ascii="宋体" w:hAnsi="宋体" w:cs="宋体"/>
                <w:color w:val="000000" w:themeColor="text1"/>
                <w:szCs w:val="21"/>
                <w14:textFill>
                  <w14:solidFill>
                    <w14:schemeClr w14:val="tx1"/>
                  </w14:solidFill>
                </w14:textFill>
              </w:rPr>
            </w:pPr>
          </w:p>
        </w:tc>
        <w:tc>
          <w:tcPr>
            <w:tcW w:w="1275" w:type="dxa"/>
          </w:tcPr>
          <w:p w14:paraId="271AE9F2">
            <w:pPr>
              <w:ind w:firstLine="420"/>
              <w:jc w:val="center"/>
              <w:rPr>
                <w:rFonts w:ascii="宋体" w:hAnsi="宋体" w:cs="宋体"/>
                <w:color w:val="000000" w:themeColor="text1"/>
                <w:szCs w:val="21"/>
                <w14:textFill>
                  <w14:solidFill>
                    <w14:schemeClr w14:val="tx1"/>
                  </w14:solidFill>
                </w14:textFill>
              </w:rPr>
            </w:pPr>
          </w:p>
        </w:tc>
        <w:tc>
          <w:tcPr>
            <w:tcW w:w="1293" w:type="dxa"/>
          </w:tcPr>
          <w:p w14:paraId="5866D2E3">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24A1ED6E">
            <w:pPr>
              <w:ind w:firstLine="420"/>
              <w:jc w:val="center"/>
              <w:rPr>
                <w:rFonts w:ascii="宋体" w:hAnsi="宋体" w:cs="宋体"/>
                <w:color w:val="000000" w:themeColor="text1"/>
                <w:szCs w:val="21"/>
                <w14:textFill>
                  <w14:solidFill>
                    <w14:schemeClr w14:val="tx1"/>
                  </w14:solidFill>
                </w14:textFill>
              </w:rPr>
            </w:pPr>
          </w:p>
        </w:tc>
      </w:tr>
      <w:tr w14:paraId="762F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FCF54F5">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2414" w:type="dxa"/>
            <w:vAlign w:val="center"/>
          </w:tcPr>
          <w:p w14:paraId="43580F49">
            <w:pPr>
              <w:ind w:firstLine="420"/>
              <w:jc w:val="center"/>
              <w:rPr>
                <w:rFonts w:ascii="宋体" w:hAnsi="宋体" w:cs="宋体"/>
                <w:color w:val="000000" w:themeColor="text1"/>
                <w:szCs w:val="21"/>
                <w14:textFill>
                  <w14:solidFill>
                    <w14:schemeClr w14:val="tx1"/>
                  </w14:solidFill>
                </w14:textFill>
              </w:rPr>
            </w:pPr>
          </w:p>
        </w:tc>
        <w:tc>
          <w:tcPr>
            <w:tcW w:w="2355" w:type="dxa"/>
          </w:tcPr>
          <w:p w14:paraId="773EBC76">
            <w:pPr>
              <w:ind w:firstLine="420"/>
              <w:jc w:val="center"/>
              <w:rPr>
                <w:rFonts w:ascii="宋体" w:hAnsi="宋体" w:cs="宋体"/>
                <w:color w:val="000000" w:themeColor="text1"/>
                <w:szCs w:val="21"/>
                <w14:textFill>
                  <w14:solidFill>
                    <w14:schemeClr w14:val="tx1"/>
                  </w14:solidFill>
                </w14:textFill>
              </w:rPr>
            </w:pPr>
          </w:p>
        </w:tc>
        <w:tc>
          <w:tcPr>
            <w:tcW w:w="1275" w:type="dxa"/>
          </w:tcPr>
          <w:p w14:paraId="242BCDD3">
            <w:pPr>
              <w:ind w:firstLine="420"/>
              <w:jc w:val="center"/>
              <w:rPr>
                <w:rFonts w:ascii="宋体" w:hAnsi="宋体" w:cs="宋体"/>
                <w:color w:val="000000" w:themeColor="text1"/>
                <w:szCs w:val="21"/>
                <w14:textFill>
                  <w14:solidFill>
                    <w14:schemeClr w14:val="tx1"/>
                  </w14:solidFill>
                </w14:textFill>
              </w:rPr>
            </w:pPr>
          </w:p>
        </w:tc>
        <w:tc>
          <w:tcPr>
            <w:tcW w:w="1293" w:type="dxa"/>
          </w:tcPr>
          <w:p w14:paraId="2C38D927">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05444798">
            <w:pPr>
              <w:ind w:firstLine="420"/>
              <w:jc w:val="center"/>
              <w:rPr>
                <w:rFonts w:ascii="宋体" w:hAnsi="宋体" w:cs="宋体"/>
                <w:color w:val="000000" w:themeColor="text1"/>
                <w:szCs w:val="21"/>
                <w14:textFill>
                  <w14:solidFill>
                    <w14:schemeClr w14:val="tx1"/>
                  </w14:solidFill>
                </w14:textFill>
              </w:rPr>
            </w:pPr>
          </w:p>
        </w:tc>
      </w:tr>
      <w:tr w14:paraId="4D677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982C76E">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2414" w:type="dxa"/>
            <w:vAlign w:val="center"/>
          </w:tcPr>
          <w:p w14:paraId="3E23C348">
            <w:pPr>
              <w:ind w:firstLine="420"/>
              <w:jc w:val="center"/>
              <w:rPr>
                <w:rFonts w:ascii="宋体" w:hAnsi="宋体" w:cs="宋体"/>
                <w:color w:val="000000" w:themeColor="text1"/>
                <w:szCs w:val="21"/>
                <w14:textFill>
                  <w14:solidFill>
                    <w14:schemeClr w14:val="tx1"/>
                  </w14:solidFill>
                </w14:textFill>
              </w:rPr>
            </w:pPr>
          </w:p>
        </w:tc>
        <w:tc>
          <w:tcPr>
            <w:tcW w:w="2355" w:type="dxa"/>
          </w:tcPr>
          <w:p w14:paraId="7EF7F599">
            <w:pPr>
              <w:ind w:firstLine="420"/>
              <w:jc w:val="center"/>
              <w:rPr>
                <w:rFonts w:ascii="宋体" w:hAnsi="宋体" w:cs="宋体"/>
                <w:color w:val="000000" w:themeColor="text1"/>
                <w:szCs w:val="21"/>
                <w14:textFill>
                  <w14:solidFill>
                    <w14:schemeClr w14:val="tx1"/>
                  </w14:solidFill>
                </w14:textFill>
              </w:rPr>
            </w:pPr>
          </w:p>
        </w:tc>
        <w:tc>
          <w:tcPr>
            <w:tcW w:w="1275" w:type="dxa"/>
          </w:tcPr>
          <w:p w14:paraId="0C2D4316">
            <w:pPr>
              <w:ind w:firstLine="420"/>
              <w:jc w:val="center"/>
              <w:rPr>
                <w:rFonts w:ascii="宋体" w:hAnsi="宋体" w:cs="宋体"/>
                <w:color w:val="000000" w:themeColor="text1"/>
                <w:szCs w:val="21"/>
                <w14:textFill>
                  <w14:solidFill>
                    <w14:schemeClr w14:val="tx1"/>
                  </w14:solidFill>
                </w14:textFill>
              </w:rPr>
            </w:pPr>
          </w:p>
        </w:tc>
        <w:tc>
          <w:tcPr>
            <w:tcW w:w="1293" w:type="dxa"/>
          </w:tcPr>
          <w:p w14:paraId="2B718680">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6698EED6">
            <w:pPr>
              <w:ind w:firstLine="420"/>
              <w:jc w:val="center"/>
              <w:rPr>
                <w:rFonts w:ascii="宋体" w:hAnsi="宋体" w:cs="宋体"/>
                <w:color w:val="000000" w:themeColor="text1"/>
                <w:szCs w:val="21"/>
                <w14:textFill>
                  <w14:solidFill>
                    <w14:schemeClr w14:val="tx1"/>
                  </w14:solidFill>
                </w14:textFill>
              </w:rPr>
            </w:pPr>
          </w:p>
        </w:tc>
      </w:tr>
      <w:tr w14:paraId="0E07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360F81ED">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2414" w:type="dxa"/>
            <w:vAlign w:val="center"/>
          </w:tcPr>
          <w:p w14:paraId="28DC96B1">
            <w:pPr>
              <w:ind w:firstLine="420"/>
              <w:jc w:val="center"/>
              <w:rPr>
                <w:rFonts w:ascii="宋体" w:hAnsi="宋体" w:cs="宋体"/>
                <w:color w:val="000000" w:themeColor="text1"/>
                <w:szCs w:val="21"/>
                <w14:textFill>
                  <w14:solidFill>
                    <w14:schemeClr w14:val="tx1"/>
                  </w14:solidFill>
                </w14:textFill>
              </w:rPr>
            </w:pPr>
          </w:p>
        </w:tc>
        <w:tc>
          <w:tcPr>
            <w:tcW w:w="2355" w:type="dxa"/>
          </w:tcPr>
          <w:p w14:paraId="753280F4">
            <w:pPr>
              <w:ind w:firstLine="420"/>
              <w:jc w:val="center"/>
              <w:rPr>
                <w:rFonts w:ascii="宋体" w:hAnsi="宋体" w:cs="宋体"/>
                <w:color w:val="000000" w:themeColor="text1"/>
                <w:szCs w:val="21"/>
                <w14:textFill>
                  <w14:solidFill>
                    <w14:schemeClr w14:val="tx1"/>
                  </w14:solidFill>
                </w14:textFill>
              </w:rPr>
            </w:pPr>
          </w:p>
        </w:tc>
        <w:tc>
          <w:tcPr>
            <w:tcW w:w="1275" w:type="dxa"/>
          </w:tcPr>
          <w:p w14:paraId="4C6E658A">
            <w:pPr>
              <w:ind w:firstLine="420"/>
              <w:jc w:val="center"/>
              <w:rPr>
                <w:rFonts w:ascii="宋体" w:hAnsi="宋体" w:cs="宋体"/>
                <w:color w:val="000000" w:themeColor="text1"/>
                <w:szCs w:val="21"/>
                <w14:textFill>
                  <w14:solidFill>
                    <w14:schemeClr w14:val="tx1"/>
                  </w14:solidFill>
                </w14:textFill>
              </w:rPr>
            </w:pPr>
          </w:p>
        </w:tc>
        <w:tc>
          <w:tcPr>
            <w:tcW w:w="1293" w:type="dxa"/>
          </w:tcPr>
          <w:p w14:paraId="305DB454">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6E3BAA40">
            <w:pPr>
              <w:ind w:firstLine="420"/>
              <w:jc w:val="center"/>
              <w:rPr>
                <w:rFonts w:ascii="宋体" w:hAnsi="宋体" w:cs="宋体"/>
                <w:color w:val="000000" w:themeColor="text1"/>
                <w:szCs w:val="21"/>
                <w14:textFill>
                  <w14:solidFill>
                    <w14:schemeClr w14:val="tx1"/>
                  </w14:solidFill>
                </w14:textFill>
              </w:rPr>
            </w:pPr>
          </w:p>
        </w:tc>
      </w:tr>
      <w:tr w14:paraId="3C26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963" w:type="dxa"/>
            <w:vAlign w:val="center"/>
          </w:tcPr>
          <w:p w14:paraId="1C77E6C2">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14" w:type="dxa"/>
            <w:vAlign w:val="center"/>
          </w:tcPr>
          <w:p w14:paraId="03BC9E88">
            <w:pPr>
              <w:ind w:firstLine="420"/>
              <w:jc w:val="center"/>
              <w:rPr>
                <w:rFonts w:ascii="宋体" w:hAnsi="宋体" w:cs="宋体"/>
                <w:color w:val="000000" w:themeColor="text1"/>
                <w:szCs w:val="21"/>
                <w14:textFill>
                  <w14:solidFill>
                    <w14:schemeClr w14:val="tx1"/>
                  </w14:solidFill>
                </w14:textFill>
              </w:rPr>
            </w:pPr>
          </w:p>
        </w:tc>
        <w:tc>
          <w:tcPr>
            <w:tcW w:w="2355" w:type="dxa"/>
          </w:tcPr>
          <w:p w14:paraId="1D8381E1">
            <w:pPr>
              <w:ind w:firstLine="420"/>
              <w:jc w:val="center"/>
              <w:rPr>
                <w:rFonts w:ascii="宋体" w:hAnsi="宋体" w:cs="宋体"/>
                <w:color w:val="000000" w:themeColor="text1"/>
                <w:szCs w:val="21"/>
                <w14:textFill>
                  <w14:solidFill>
                    <w14:schemeClr w14:val="tx1"/>
                  </w14:solidFill>
                </w14:textFill>
              </w:rPr>
            </w:pPr>
          </w:p>
        </w:tc>
        <w:tc>
          <w:tcPr>
            <w:tcW w:w="1275" w:type="dxa"/>
          </w:tcPr>
          <w:p w14:paraId="588FA95A">
            <w:pPr>
              <w:ind w:firstLine="420"/>
              <w:jc w:val="center"/>
              <w:rPr>
                <w:rFonts w:ascii="宋体" w:hAnsi="宋体" w:cs="宋体"/>
                <w:color w:val="000000" w:themeColor="text1"/>
                <w:szCs w:val="21"/>
                <w14:textFill>
                  <w14:solidFill>
                    <w14:schemeClr w14:val="tx1"/>
                  </w14:solidFill>
                </w14:textFill>
              </w:rPr>
            </w:pPr>
          </w:p>
        </w:tc>
        <w:tc>
          <w:tcPr>
            <w:tcW w:w="1293" w:type="dxa"/>
          </w:tcPr>
          <w:p w14:paraId="1E95CB40">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1B51F6D3">
            <w:pPr>
              <w:ind w:firstLine="420"/>
              <w:jc w:val="center"/>
              <w:rPr>
                <w:rFonts w:ascii="宋体" w:hAnsi="宋体" w:cs="宋体"/>
                <w:color w:val="000000" w:themeColor="text1"/>
                <w:szCs w:val="21"/>
                <w14:textFill>
                  <w14:solidFill>
                    <w14:schemeClr w14:val="tx1"/>
                  </w14:solidFill>
                </w14:textFill>
              </w:rPr>
            </w:pPr>
          </w:p>
        </w:tc>
      </w:tr>
      <w:tr w14:paraId="032B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50D06B31">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14" w:type="dxa"/>
            <w:vAlign w:val="center"/>
          </w:tcPr>
          <w:p w14:paraId="3446306D">
            <w:pPr>
              <w:ind w:firstLine="420"/>
              <w:jc w:val="center"/>
              <w:rPr>
                <w:rFonts w:ascii="宋体" w:hAnsi="宋体" w:cs="宋体"/>
                <w:color w:val="000000" w:themeColor="text1"/>
                <w:szCs w:val="21"/>
                <w14:textFill>
                  <w14:solidFill>
                    <w14:schemeClr w14:val="tx1"/>
                  </w14:solidFill>
                </w14:textFill>
              </w:rPr>
            </w:pPr>
          </w:p>
        </w:tc>
        <w:tc>
          <w:tcPr>
            <w:tcW w:w="2355" w:type="dxa"/>
          </w:tcPr>
          <w:p w14:paraId="58178C63">
            <w:pPr>
              <w:ind w:firstLine="420"/>
              <w:jc w:val="center"/>
              <w:rPr>
                <w:rFonts w:ascii="宋体" w:hAnsi="宋体" w:cs="宋体"/>
                <w:color w:val="000000" w:themeColor="text1"/>
                <w:szCs w:val="21"/>
                <w14:textFill>
                  <w14:solidFill>
                    <w14:schemeClr w14:val="tx1"/>
                  </w14:solidFill>
                </w14:textFill>
              </w:rPr>
            </w:pPr>
          </w:p>
        </w:tc>
        <w:tc>
          <w:tcPr>
            <w:tcW w:w="1275" w:type="dxa"/>
          </w:tcPr>
          <w:p w14:paraId="02B123F5">
            <w:pPr>
              <w:ind w:firstLine="420"/>
              <w:jc w:val="center"/>
              <w:rPr>
                <w:rFonts w:ascii="宋体" w:hAnsi="宋体" w:cs="宋体"/>
                <w:color w:val="000000" w:themeColor="text1"/>
                <w:szCs w:val="21"/>
                <w14:textFill>
                  <w14:solidFill>
                    <w14:schemeClr w14:val="tx1"/>
                  </w14:solidFill>
                </w14:textFill>
              </w:rPr>
            </w:pPr>
          </w:p>
        </w:tc>
        <w:tc>
          <w:tcPr>
            <w:tcW w:w="1293" w:type="dxa"/>
          </w:tcPr>
          <w:p w14:paraId="0B764767">
            <w:pPr>
              <w:ind w:firstLine="420"/>
              <w:jc w:val="center"/>
              <w:rPr>
                <w:rFonts w:ascii="宋体" w:hAnsi="宋体" w:cs="宋体"/>
                <w:color w:val="000000" w:themeColor="text1"/>
                <w:szCs w:val="21"/>
                <w14:textFill>
                  <w14:solidFill>
                    <w14:schemeClr w14:val="tx1"/>
                  </w14:solidFill>
                </w14:textFill>
              </w:rPr>
            </w:pPr>
          </w:p>
        </w:tc>
        <w:tc>
          <w:tcPr>
            <w:tcW w:w="1262" w:type="dxa"/>
            <w:vMerge w:val="continue"/>
          </w:tcPr>
          <w:p w14:paraId="399640EC">
            <w:pPr>
              <w:ind w:firstLine="420"/>
              <w:jc w:val="center"/>
              <w:rPr>
                <w:rFonts w:ascii="宋体" w:hAnsi="宋体" w:cs="宋体"/>
                <w:color w:val="000000" w:themeColor="text1"/>
                <w:szCs w:val="21"/>
                <w14:textFill>
                  <w14:solidFill>
                    <w14:schemeClr w14:val="tx1"/>
                  </w14:solidFill>
                </w14:textFill>
              </w:rPr>
            </w:pPr>
          </w:p>
        </w:tc>
      </w:tr>
      <w:tr w14:paraId="7E4D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3" w:type="dxa"/>
            <w:vAlign w:val="center"/>
          </w:tcPr>
          <w:p w14:paraId="46B13CA7">
            <w:pPr>
              <w:pStyle w:val="3"/>
              <w:spacing w:line="240" w:lineRule="atLeast"/>
              <w:ind w:firstLine="422"/>
              <w:jc w:val="center"/>
              <w:outlineLvl w:val="0"/>
              <w:rPr>
                <w:rFonts w:ascii="宋体" w:hAnsi="宋体" w:cs="宋体"/>
                <w:color w:val="000000" w:themeColor="text1"/>
                <w:szCs w:val="21"/>
                <w14:textFill>
                  <w14:solidFill>
                    <w14:schemeClr w14:val="tx1"/>
                  </w14:solidFill>
                </w14:textFill>
              </w:rPr>
            </w:pPr>
          </w:p>
        </w:tc>
        <w:tc>
          <w:tcPr>
            <w:tcW w:w="2414" w:type="dxa"/>
            <w:vAlign w:val="center"/>
          </w:tcPr>
          <w:p w14:paraId="436997AD">
            <w:pPr>
              <w:ind w:firstLine="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总计</w:t>
            </w:r>
          </w:p>
        </w:tc>
        <w:tc>
          <w:tcPr>
            <w:tcW w:w="4923" w:type="dxa"/>
            <w:gridSpan w:val="3"/>
          </w:tcPr>
          <w:p w14:paraId="502EAD43">
            <w:pPr>
              <w:ind w:firstLine="420"/>
              <w:rPr>
                <w:rFonts w:ascii="宋体" w:hAnsi="宋体" w:cs="宋体"/>
                <w:color w:val="000000" w:themeColor="text1"/>
                <w:szCs w:val="21"/>
                <w14:textFill>
                  <w14:solidFill>
                    <w14:schemeClr w14:val="tx1"/>
                  </w14:solidFill>
                </w14:textFill>
              </w:rPr>
            </w:pPr>
          </w:p>
        </w:tc>
        <w:tc>
          <w:tcPr>
            <w:tcW w:w="1262" w:type="dxa"/>
          </w:tcPr>
          <w:p w14:paraId="3162F18D">
            <w:pPr>
              <w:ind w:firstLine="420"/>
              <w:rPr>
                <w:rFonts w:ascii="宋体" w:hAnsi="宋体" w:cs="宋体"/>
                <w:color w:val="000000" w:themeColor="text1"/>
                <w:szCs w:val="21"/>
                <w14:textFill>
                  <w14:solidFill>
                    <w14:schemeClr w14:val="tx1"/>
                  </w14:solidFill>
                </w14:textFill>
              </w:rPr>
            </w:pPr>
          </w:p>
        </w:tc>
      </w:tr>
    </w:tbl>
    <w:p w14:paraId="1F49ED6A">
      <w:pPr>
        <w:snapToGrid w:val="0"/>
        <w:spacing w:line="500" w:lineRule="exact"/>
        <w:ind w:firstLine="480"/>
        <w:rPr>
          <w:rFonts w:ascii="宋体" w:hAnsi="宋体" w:cs="宋体"/>
          <w:color w:val="000000" w:themeColor="text1"/>
          <w:szCs w:val="28"/>
          <w14:textFill>
            <w14:solidFill>
              <w14:schemeClr w14:val="tx1"/>
            </w14:solidFill>
          </w14:textFill>
        </w:rPr>
      </w:pPr>
    </w:p>
    <w:p w14:paraId="171124D6">
      <w:pPr>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注：1、本表格式内容可由供应商自拟。</w:t>
      </w:r>
    </w:p>
    <w:p w14:paraId="4CC26B04">
      <w:pPr>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2、该表可扩展</w:t>
      </w:r>
      <w:bookmarkStart w:id="4" w:name="OLE_LINK2"/>
      <w:r>
        <w:rPr>
          <w:rFonts w:hint="eastAsia" w:ascii="方正仿宋_GBK" w:hAnsi="方正仿宋_GBK" w:eastAsia="方正仿宋_GBK" w:cs="方正仿宋_GBK"/>
          <w:color w:val="000000" w:themeColor="text1"/>
          <w:sz w:val="32"/>
          <w:szCs w:val="32"/>
          <w14:textFill>
            <w14:solidFill>
              <w14:schemeClr w14:val="tx1"/>
            </w14:solidFill>
          </w14:textFill>
        </w:rPr>
        <w:t>，并逐页签字或盖章。</w:t>
      </w:r>
      <w:bookmarkEnd w:id="4"/>
    </w:p>
    <w:p w14:paraId="79C155AA">
      <w:pPr>
        <w:pStyle w:val="11"/>
        <w:spacing w:line="360" w:lineRule="auto"/>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p>
    <w:p w14:paraId="51A0FB7C">
      <w:pPr>
        <w:pStyle w:val="11"/>
        <w:spacing w:line="360" w:lineRule="auto"/>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p>
    <w:p w14:paraId="510F2DDD">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071D4E5C">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1B623B2A">
      <w:pPr>
        <w:spacing w:line="360" w:lineRule="auto"/>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供应商名称（公章）：</w:t>
      </w:r>
    </w:p>
    <w:p w14:paraId="42B5C8C7">
      <w:pPr>
        <w:spacing w:line="360" w:lineRule="auto"/>
        <w:ind w:firstLine="4883" w:firstLineChars="1526"/>
        <w:rPr>
          <w:rFonts w:hint="eastAsia" w:ascii="方正仿宋_GBK" w:hAnsi="方正仿宋_GBK" w:eastAsia="方正仿宋_GBK" w:cs="方正仿宋_GBK"/>
          <w:color w:val="000000" w:themeColor="text1"/>
          <w:sz w:val="32"/>
          <w:szCs w:val="32"/>
          <w14:textFill>
            <w14:solidFill>
              <w14:schemeClr w14:val="tx1"/>
            </w14:solidFill>
          </w14:textFill>
        </w:rPr>
        <w:sectPr>
          <w:headerReference r:id="rId4" w:type="default"/>
          <w:pgSz w:w="11907" w:h="16840"/>
          <w:pgMar w:top="1134" w:right="1191" w:bottom="1134" w:left="1304" w:header="964" w:footer="992" w:gutter="0"/>
          <w:pgNumType w:fmt="numberInDash"/>
          <w:cols w:space="720" w:num="1"/>
          <w:docGrid w:linePitch="380" w:charSpace="0"/>
        </w:sectPr>
      </w:pPr>
      <w:r>
        <w:rPr>
          <w:rFonts w:hint="eastAsia" w:ascii="方正仿宋_GBK" w:hAnsi="方正仿宋_GBK" w:eastAsia="方正仿宋_GBK" w:cs="方正仿宋_GBK"/>
          <w:color w:val="000000" w:themeColor="text1"/>
          <w:sz w:val="32"/>
          <w:szCs w:val="32"/>
          <w14:textFill>
            <w14:solidFill>
              <w14:schemeClr w14:val="tx1"/>
            </w14:solidFill>
          </w14:textFill>
        </w:rPr>
        <w:t>年     月    日</w:t>
      </w:r>
    </w:p>
    <w:p w14:paraId="50949628">
      <w:pPr>
        <w:spacing w:line="312" w:lineRule="auto"/>
        <w:rPr>
          <w:rFonts w:ascii="宋体" w:hAnsi="宋体" w:cs="宋体"/>
          <w:b/>
          <w:color w:val="000000" w:themeColor="text1"/>
          <w14:textFill>
            <w14:solidFill>
              <w14:schemeClr w14:val="tx1"/>
            </w14:solidFill>
          </w14:textFill>
        </w:rPr>
      </w:pPr>
    </w:p>
    <w:p w14:paraId="25366EAE">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t>三、技术部分</w:t>
      </w:r>
    </w:p>
    <w:p w14:paraId="2CD4804B">
      <w:pPr>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（一）服务方案</w:t>
      </w:r>
    </w:p>
    <w:p w14:paraId="47D12D42">
      <w:pPr>
        <w:pStyle w:val="5"/>
        <w:spacing w:before="32" w:after="32"/>
        <w:ind w:firstLine="281"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p>
    <w:p w14:paraId="3C3D439C">
      <w:pPr>
        <w:pStyle w:val="5"/>
        <w:spacing w:before="0" w:after="0" w:line="480" w:lineRule="exac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方正仿宋_GBK" w:hAnsi="方正仿宋_GBK" w:eastAsia="方正仿宋_GBK" w:cs="方正仿宋_GBK"/>
          <w:b w:val="0"/>
          <w:color w:val="000000" w:themeColor="text1"/>
          <w:sz w:val="32"/>
          <w:szCs w:val="32"/>
          <w14:textFill>
            <w14:solidFill>
              <w14:schemeClr w14:val="tx1"/>
            </w14:solidFill>
          </w14:textFill>
        </w:rPr>
        <w:t>（二）技术响应偏离表</w:t>
      </w:r>
    </w:p>
    <w:p w14:paraId="418CCDC8">
      <w:pPr>
        <w:pStyle w:val="5"/>
        <w:spacing w:before="0" w:after="0" w:line="480" w:lineRule="exact"/>
        <w:ind w:firstLine="960" w:firstLineChars="300"/>
        <w:rPr>
          <w:rFonts w:hint="eastAsia" w:ascii="方正仿宋_GBK" w:hAnsi="方正仿宋_GBK" w:eastAsia="方正仿宋_GBK" w:cs="方正仿宋_GBK"/>
          <w:b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color w:val="000000" w:themeColor="text1"/>
          <w:sz w:val="32"/>
          <w:szCs w:val="32"/>
          <w14:textFill>
            <w14:solidFill>
              <w14:schemeClr w14:val="tx1"/>
            </w14:solidFill>
          </w14:textFill>
        </w:rPr>
        <w:t>采购项目名称：</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841"/>
        <w:gridCol w:w="3525"/>
        <w:gridCol w:w="2043"/>
      </w:tblGrid>
      <w:tr w14:paraId="30CB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4A4F8FF2">
            <w:pPr>
              <w:tabs>
                <w:tab w:val="left" w:pos="6300"/>
              </w:tabs>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2741" w:type="dxa"/>
            <w:vAlign w:val="center"/>
          </w:tcPr>
          <w:p w14:paraId="4278D2C4">
            <w:pPr>
              <w:tabs>
                <w:tab w:val="left" w:pos="6300"/>
              </w:tabs>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采购技术要求</w:t>
            </w:r>
          </w:p>
        </w:tc>
        <w:tc>
          <w:tcPr>
            <w:tcW w:w="3401" w:type="dxa"/>
            <w:vAlign w:val="center"/>
          </w:tcPr>
          <w:p w14:paraId="57A4D604">
            <w:pPr>
              <w:tabs>
                <w:tab w:val="left" w:pos="6300"/>
              </w:tabs>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响应情况</w:t>
            </w:r>
          </w:p>
        </w:tc>
        <w:tc>
          <w:tcPr>
            <w:tcW w:w="1971" w:type="dxa"/>
            <w:vAlign w:val="center"/>
          </w:tcPr>
          <w:p w14:paraId="184E0FCB">
            <w:pPr>
              <w:tabs>
                <w:tab w:val="left" w:pos="6300"/>
              </w:tabs>
              <w:spacing w:line="28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差异说明</w:t>
            </w:r>
          </w:p>
        </w:tc>
      </w:tr>
      <w:tr w14:paraId="3A26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00540D93">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34850BEE">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795B9209">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5D0B6449">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0CB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59193C5E">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3B8D07F3">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5F596E60">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727B9FF3">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02C6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0DF893E7">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5793D600">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4C0531B5">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7C7A302F">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64C8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491772A6">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311F8FC7">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143823CB">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0FCBCC1E">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3FFC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647F1EA4">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212F54F8">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16D2CF1C">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09C6FDE5">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419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3225F994">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14426A86">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04D25C51">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739AAEE1">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3251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67BB9BD8">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6AB9505C">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526E642A">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3A3637D5">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21E3E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7F49537D">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67AE899E">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33493678">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16297139">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04D6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3E3B8433">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11EB8086">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0EB0BFF6">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09BB4AE4">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76D0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5E614D16">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31E5DB02">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38BDAAA9">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7A54A76D">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r w14:paraId="388F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85" w:type="dxa"/>
            <w:vAlign w:val="center"/>
          </w:tcPr>
          <w:p w14:paraId="67E7B7A4">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2741" w:type="dxa"/>
            <w:vAlign w:val="center"/>
          </w:tcPr>
          <w:p w14:paraId="3F5BD9AA">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3401" w:type="dxa"/>
            <w:vAlign w:val="center"/>
          </w:tcPr>
          <w:p w14:paraId="3352641A">
            <w:pPr>
              <w:tabs>
                <w:tab w:val="left" w:pos="6300"/>
              </w:tabs>
              <w:spacing w:line="280" w:lineRule="exact"/>
              <w:jc w:val="center"/>
              <w:rPr>
                <w:rFonts w:ascii="宋体" w:hAnsi="宋体" w:cs="宋体"/>
                <w:color w:val="000000" w:themeColor="text1"/>
                <w:szCs w:val="21"/>
                <w14:textFill>
                  <w14:solidFill>
                    <w14:schemeClr w14:val="tx1"/>
                  </w14:solidFill>
                </w14:textFill>
              </w:rPr>
            </w:pPr>
          </w:p>
        </w:tc>
        <w:tc>
          <w:tcPr>
            <w:tcW w:w="1971" w:type="dxa"/>
            <w:vAlign w:val="center"/>
          </w:tcPr>
          <w:p w14:paraId="077DB7E7">
            <w:pPr>
              <w:tabs>
                <w:tab w:val="left" w:pos="6300"/>
              </w:tabs>
              <w:spacing w:line="280" w:lineRule="exact"/>
              <w:jc w:val="center"/>
              <w:rPr>
                <w:rFonts w:ascii="宋体" w:hAnsi="宋体" w:cs="宋体"/>
                <w:color w:val="000000" w:themeColor="text1"/>
                <w:szCs w:val="21"/>
                <w14:textFill>
                  <w14:solidFill>
                    <w14:schemeClr w14:val="tx1"/>
                  </w14:solidFill>
                </w14:textFill>
              </w:rPr>
            </w:pPr>
          </w:p>
        </w:tc>
      </w:tr>
    </w:tbl>
    <w:p w14:paraId="21A91D0D">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供应商：                     法定代表人或授权代表： </w:t>
      </w:r>
    </w:p>
    <w:p w14:paraId="14E40B5C">
      <w:pPr>
        <w:pStyle w:val="22"/>
        <w:ind w:firstLine="320" w:firstLineChars="1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（供应商公章）</w:t>
      </w:r>
      <w:r>
        <w:rPr>
          <w:rFonts w:hint="eastAsia" w:ascii="方正仿宋_GBK" w:hAnsi="方正仿宋_GBK" w:eastAsia="方正仿宋_GBK" w:cs="方正仿宋_GBK"/>
          <w:color w:val="000000" w:themeColor="text1"/>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（签字或盖章）</w:t>
      </w:r>
    </w:p>
    <w:p w14:paraId="4CE8D3AA">
      <w:pPr>
        <w:pStyle w:val="22"/>
        <w:ind w:left="480" w:hanging="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6D6AC2F3">
      <w:pPr>
        <w:snapToGrid w:val="0"/>
        <w:spacing w:line="360" w:lineRule="auto"/>
        <w:ind w:firstLine="480"/>
        <w:rPr>
          <w:rFonts w:hint="eastAsia" w:ascii="方正仿宋_GBK" w:hAnsi="方正仿宋_GBK" w:eastAsia="方正仿宋_GBK" w:cs="方正仿宋_GBK"/>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p>
    <w:p w14:paraId="3CC63293">
      <w:pPr>
        <w:snapToGrid w:val="0"/>
        <w:spacing w:line="360" w:lineRule="auto"/>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本表即为对本项目“项目技术需求”所列技术部分要求进行比较和响应；</w:t>
      </w:r>
    </w:p>
    <w:p w14:paraId="528254C9">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该表必须按照采购要求逐条如实填写，须在响应情况中逐条作实质性参数描述，且根据响应情况在“差异说明”项填写正偏离或负偏离，且完全符合的填写“无差异”；若“响应情况”中作了实质性参数描述，但“差异说明”未填写，则该供应商将失去成为成交供应商的资格，仅保留其合格供应商的身份；若“差异说明”有填写，但“响应情况”未作实质性参数描述，则该供应商将失去参加磋商资格；</w:t>
      </w:r>
    </w:p>
    <w:p w14:paraId="10B72F77">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该表可扩展，并逐页签字或盖章</w:t>
      </w:r>
    </w:p>
    <w:p w14:paraId="3F751D15">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可附相关技术支撑材料。（格式自定）</w:t>
      </w:r>
    </w:p>
    <w:p w14:paraId="4CCC570A">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1FCBEE85">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sectPr>
          <w:headerReference r:id="rId5" w:type="default"/>
          <w:footerReference r:id="rId6" w:type="default"/>
          <w:pgSz w:w="11906" w:h="16838"/>
          <w:pgMar w:top="1134" w:right="1134" w:bottom="1134" w:left="1134" w:header="851" w:footer="851" w:gutter="0"/>
          <w:cols w:space="720" w:num="1"/>
          <w:docGrid w:type="lines" w:linePitch="326" w:charSpace="0"/>
        </w:sectPr>
      </w:pPr>
    </w:p>
    <w:p w14:paraId="24572FDD">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t>四、商务部分</w:t>
      </w:r>
    </w:p>
    <w:p w14:paraId="66B292EC">
      <w:pPr>
        <w:spacing w:line="312" w:lineRule="auto"/>
        <w:ind w:firstLine="480"/>
        <w:rPr>
          <w:rFonts w:ascii="宋体" w:hAnsi="宋体" w:cs="宋体"/>
          <w:color w:val="000000" w:themeColor="text1"/>
          <w14:textFill>
            <w14:solidFill>
              <w14:schemeClr w14:val="tx1"/>
            </w14:solidFill>
          </w14:textFill>
        </w:rPr>
      </w:pPr>
      <w:bookmarkStart w:id="5" w:name="_Toc4879"/>
      <w:r>
        <w:rPr>
          <w:rFonts w:hint="eastAsia" w:ascii="方正仿宋_GBK" w:hAnsi="方正仿宋_GBK" w:eastAsia="方正仿宋_GBK" w:cs="方正仿宋_GBK"/>
          <w:color w:val="000000" w:themeColor="text1"/>
          <w:sz w:val="32"/>
          <w:szCs w:val="32"/>
          <w14:textFill>
            <w14:solidFill>
              <w14:schemeClr w14:val="tx1"/>
            </w14:solidFill>
          </w14:textFill>
        </w:rPr>
        <w:t>（一）评分商务部分要求提供的相关证明材料</w:t>
      </w:r>
      <w:r>
        <w:rPr>
          <w:rFonts w:hint="eastAsia" w:ascii="方正仿宋_GBK" w:hAnsi="方正仿宋_GBK" w:eastAsia="方正仿宋_GBK" w:cs="方正仿宋_GBK"/>
          <w:color w:val="000000" w:themeColor="text1"/>
          <w:sz w:val="32"/>
          <w:szCs w:val="32"/>
          <w14:textFill>
            <w14:solidFill>
              <w14:schemeClr w14:val="tx1"/>
            </w14:solidFill>
          </w14:textFill>
        </w:rPr>
        <w:br w:type="page"/>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（二）商务响应偏离表</w:t>
      </w:r>
      <w:bookmarkEnd w:id="5"/>
    </w:p>
    <w:p w14:paraId="0ED34302">
      <w:pPr>
        <w:pStyle w:val="5"/>
        <w:spacing w:before="32" w:after="32"/>
        <w:ind w:firstLine="522"/>
        <w:jc w:val="cente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商务条款差异表</w:t>
      </w:r>
    </w:p>
    <w:p w14:paraId="37136523">
      <w:pPr>
        <w:spacing w:line="312" w:lineRule="auto"/>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采购项目名称：</w:t>
      </w:r>
    </w:p>
    <w:tbl>
      <w:tblPr>
        <w:tblStyle w:val="1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229"/>
        <w:gridCol w:w="2475"/>
        <w:gridCol w:w="2395"/>
      </w:tblGrid>
      <w:tr w14:paraId="6735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449" w:type="dxa"/>
            <w:vAlign w:val="center"/>
          </w:tcPr>
          <w:p w14:paraId="340E8CBD">
            <w:pPr>
              <w:tabs>
                <w:tab w:val="left" w:pos="6300"/>
              </w:tabs>
              <w:snapToGrid w:val="0"/>
              <w:spacing w:line="360" w:lineRule="auto"/>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039" w:type="dxa"/>
            <w:vAlign w:val="center"/>
          </w:tcPr>
          <w:p w14:paraId="39A531D3">
            <w:pPr>
              <w:tabs>
                <w:tab w:val="left" w:pos="6300"/>
              </w:tabs>
              <w:snapToGrid w:val="0"/>
              <w:spacing w:line="360" w:lineRule="auto"/>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项目商务需求</w:t>
            </w:r>
          </w:p>
        </w:tc>
        <w:tc>
          <w:tcPr>
            <w:tcW w:w="2329" w:type="dxa"/>
            <w:vAlign w:val="center"/>
          </w:tcPr>
          <w:p w14:paraId="1DB89F17">
            <w:pPr>
              <w:tabs>
                <w:tab w:val="left" w:pos="6300"/>
              </w:tabs>
              <w:snapToGrid w:val="0"/>
              <w:spacing w:line="360" w:lineRule="auto"/>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响应情况</w:t>
            </w:r>
          </w:p>
        </w:tc>
        <w:tc>
          <w:tcPr>
            <w:tcW w:w="2254" w:type="dxa"/>
            <w:vAlign w:val="center"/>
          </w:tcPr>
          <w:p w14:paraId="0D325E3B">
            <w:pPr>
              <w:tabs>
                <w:tab w:val="left" w:pos="6300"/>
              </w:tabs>
              <w:snapToGrid w:val="0"/>
              <w:spacing w:line="360" w:lineRule="auto"/>
              <w:jc w:val="center"/>
              <w:outlineLvl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差异说明</w:t>
            </w:r>
          </w:p>
        </w:tc>
      </w:tr>
      <w:tr w14:paraId="7829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14:paraId="78EB513E">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79C9EF22">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714895B1">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72E53374">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r w14:paraId="4A2C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14:paraId="63C98E49">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6DDC5775">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7A45EC22">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6EF8C8AA">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r w14:paraId="5F47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14:paraId="0F2EC104">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7F818FDB">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327B2853">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3B36730C">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r w14:paraId="5CB1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14:paraId="22E1ED0C">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1BDE2BB0">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79FD3766">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077D9C17">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r w14:paraId="281C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49" w:type="dxa"/>
            <w:vAlign w:val="center"/>
          </w:tcPr>
          <w:p w14:paraId="3A2C1B7D">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7CA99C08">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73958E22">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183D616B">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r w14:paraId="757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49" w:type="dxa"/>
            <w:vAlign w:val="center"/>
          </w:tcPr>
          <w:p w14:paraId="14C8692C">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3039" w:type="dxa"/>
            <w:vAlign w:val="center"/>
          </w:tcPr>
          <w:p w14:paraId="48BF20F5">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329" w:type="dxa"/>
            <w:vAlign w:val="center"/>
          </w:tcPr>
          <w:p w14:paraId="35F9AA3D">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c>
          <w:tcPr>
            <w:tcW w:w="2254" w:type="dxa"/>
            <w:vAlign w:val="center"/>
          </w:tcPr>
          <w:p w14:paraId="564DEB22">
            <w:pPr>
              <w:tabs>
                <w:tab w:val="left" w:pos="6300"/>
              </w:tabs>
              <w:snapToGrid w:val="0"/>
              <w:spacing w:line="360" w:lineRule="auto"/>
              <w:ind w:firstLine="420"/>
              <w:jc w:val="center"/>
              <w:outlineLvl w:val="0"/>
              <w:rPr>
                <w:rFonts w:ascii="宋体" w:hAnsi="宋体" w:cs="宋体"/>
                <w:color w:val="000000" w:themeColor="text1"/>
                <w14:textFill>
                  <w14:solidFill>
                    <w14:schemeClr w14:val="tx1"/>
                  </w14:solidFill>
                </w14:textFill>
              </w:rPr>
            </w:pPr>
          </w:p>
        </w:tc>
      </w:tr>
    </w:tbl>
    <w:p w14:paraId="6223B49E">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供应商：                   法定代表人或授权代表： </w:t>
      </w:r>
    </w:p>
    <w:p w14:paraId="313143AC">
      <w:pPr>
        <w:pStyle w:val="22"/>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（供应商公章）                    （签字或盖章）</w:t>
      </w:r>
    </w:p>
    <w:p w14:paraId="7381FB9E">
      <w:pPr>
        <w:pStyle w:val="22"/>
        <w:ind w:left="5598" w:leftChars="456" w:hanging="4640" w:hangingChars="14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2C0EC399">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p>
    <w:p w14:paraId="0A4CE73D">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本表即为对本项目“商务要求”所列要求进行比较和响应；</w:t>
      </w:r>
    </w:p>
    <w:p w14:paraId="66700AC2">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该表必须按照采购要求逐条如实填写，须在响应情况中逐条作实质性参数描述，且根据响应情况在“差异说明”项填写正偏离或负偏离，且完全符合的填写“无差异”；若“响应情况”中作了实质性参数描述，但“差异说明”未填写，则该供应商将失去成为成交供应商的资格，仅保留其合格供应商的身份；若“差异说明”有填写，但“响应情况”未作实质性参数描述，则该供应商将失去参加磋商资格；</w:t>
      </w:r>
    </w:p>
    <w:p w14:paraId="74A4CA2D">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该表可扩展，并逐页签字或盖章</w:t>
      </w:r>
    </w:p>
    <w:p w14:paraId="035E2260">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可附相关支撑材料。（格式自定）</w:t>
      </w:r>
    </w:p>
    <w:p w14:paraId="0AFDD831">
      <w:pPr>
        <w:pStyle w:val="22"/>
        <w:ind w:firstLine="800" w:firstLineChars="250"/>
        <w:rPr>
          <w:rFonts w:hint="eastAsia" w:ascii="方正仿宋_GBK" w:hAnsi="方正仿宋_GBK" w:eastAsia="方正仿宋_GBK" w:cs="方正仿宋_GBK"/>
          <w:color w:val="000000" w:themeColor="text1"/>
          <w:sz w:val="32"/>
          <w:szCs w:val="32"/>
          <w14:textFill>
            <w14:solidFill>
              <w14:schemeClr w14:val="tx1"/>
            </w14:solidFill>
          </w14:textFill>
        </w:rPr>
      </w:pPr>
    </w:p>
    <w:p w14:paraId="25DDFA64">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p>
    <w:p w14:paraId="4E0E1316">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p>
    <w:p w14:paraId="1A110BB8">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p>
    <w:p w14:paraId="2B2562A6">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p>
    <w:p w14:paraId="689C3964">
      <w:pPr>
        <w:spacing w:line="312" w:lineRule="auto"/>
        <w:ind w:firstLine="640" w:firstLineChars="200"/>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pPr>
      <w:r>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t>五、资格条件</w:t>
      </w:r>
    </w:p>
    <w:p w14:paraId="5C6DFCC4">
      <w:pPr>
        <w:spacing w:line="44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（一）法人营业执照复印件盖鲜章。</w:t>
      </w:r>
    </w:p>
    <w:p w14:paraId="3341997A">
      <w:pPr>
        <w:pStyle w:val="14"/>
        <w:tabs>
          <w:tab w:val="left" w:pos="0"/>
        </w:tabs>
        <w:ind w:left="294" w:leftChars="140" w:firstLine="0" w:firstLineChars="0"/>
        <w:rPr>
          <w:rFonts w:eastAsia="宋体" w:cs="宋体"/>
          <w:color w:val="000000" w:themeColor="text1"/>
          <w14:textFill>
            <w14:solidFill>
              <w14:schemeClr w14:val="tx1"/>
            </w14:solidFill>
          </w14:textFill>
        </w:rPr>
      </w:pPr>
    </w:p>
    <w:p w14:paraId="727E6319">
      <w:pPr>
        <w:wordWrap w:val="0"/>
        <w:spacing w:line="440" w:lineRule="exact"/>
        <w:ind w:firstLine="480"/>
        <w:rPr>
          <w:rFonts w:ascii="宋体" w:hAnsi="宋体" w:cs="宋体"/>
          <w:color w:val="000000" w:themeColor="text1"/>
          <w14:textFill>
            <w14:solidFill>
              <w14:schemeClr w14:val="tx1"/>
            </w14:solidFill>
          </w14:textFill>
        </w:rPr>
      </w:pPr>
    </w:p>
    <w:p w14:paraId="1887C2D5">
      <w:pPr>
        <w:ind w:firstLine="480"/>
        <w:rPr>
          <w:rFonts w:ascii="宋体" w:hAnsi="宋体" w:cs="宋体"/>
          <w:color w:val="000000" w:themeColor="text1"/>
          <w14:textFill>
            <w14:solidFill>
              <w14:schemeClr w14:val="tx1"/>
            </w14:solidFill>
          </w14:textFill>
        </w:rPr>
      </w:pPr>
    </w:p>
    <w:p w14:paraId="2930E17B">
      <w:pPr>
        <w:pStyle w:val="14"/>
        <w:ind w:firstLine="210"/>
        <w:rPr>
          <w:rFonts w:eastAsia="宋体" w:cs="宋体"/>
          <w:color w:val="000000" w:themeColor="text1"/>
          <w14:textFill>
            <w14:solidFill>
              <w14:schemeClr w14:val="tx1"/>
            </w14:solidFill>
          </w14:textFill>
        </w:rPr>
      </w:pPr>
    </w:p>
    <w:p w14:paraId="1499D05D">
      <w:pPr>
        <w:ind w:firstLine="480"/>
        <w:rPr>
          <w:rFonts w:ascii="宋体" w:hAnsi="宋体" w:cs="宋体"/>
          <w:color w:val="000000" w:themeColor="text1"/>
          <w14:textFill>
            <w14:solidFill>
              <w14:schemeClr w14:val="tx1"/>
            </w14:solidFill>
          </w14:textFill>
        </w:rPr>
      </w:pPr>
    </w:p>
    <w:p w14:paraId="60C1A819">
      <w:pPr>
        <w:pStyle w:val="14"/>
        <w:ind w:firstLine="210"/>
        <w:rPr>
          <w:rFonts w:eastAsia="宋体" w:cs="宋体"/>
          <w:color w:val="000000" w:themeColor="text1"/>
          <w14:textFill>
            <w14:solidFill>
              <w14:schemeClr w14:val="tx1"/>
            </w14:solidFill>
          </w14:textFill>
        </w:rPr>
      </w:pPr>
    </w:p>
    <w:p w14:paraId="54F36AB3">
      <w:pPr>
        <w:ind w:firstLine="480"/>
        <w:rPr>
          <w:rFonts w:ascii="宋体" w:hAnsi="宋体" w:cs="宋体"/>
          <w:color w:val="000000" w:themeColor="text1"/>
          <w14:textFill>
            <w14:solidFill>
              <w14:schemeClr w14:val="tx1"/>
            </w14:solidFill>
          </w14:textFill>
        </w:rPr>
      </w:pPr>
    </w:p>
    <w:p w14:paraId="3509A8DF">
      <w:pPr>
        <w:pStyle w:val="14"/>
        <w:ind w:firstLine="210"/>
        <w:rPr>
          <w:rFonts w:eastAsia="宋体" w:cs="宋体"/>
          <w:color w:val="000000" w:themeColor="text1"/>
          <w14:textFill>
            <w14:solidFill>
              <w14:schemeClr w14:val="tx1"/>
            </w14:solidFill>
          </w14:textFill>
        </w:rPr>
      </w:pPr>
    </w:p>
    <w:p w14:paraId="5BB7CB46">
      <w:pPr>
        <w:ind w:firstLine="480"/>
        <w:rPr>
          <w:rFonts w:ascii="宋体" w:hAnsi="宋体" w:cs="宋体"/>
          <w:color w:val="000000" w:themeColor="text1"/>
          <w14:textFill>
            <w14:solidFill>
              <w14:schemeClr w14:val="tx1"/>
            </w14:solidFill>
          </w14:textFill>
        </w:rPr>
      </w:pPr>
    </w:p>
    <w:p w14:paraId="37C4CF52">
      <w:pPr>
        <w:pStyle w:val="14"/>
        <w:ind w:firstLine="210"/>
        <w:rPr>
          <w:rFonts w:eastAsia="宋体" w:cs="宋体"/>
          <w:color w:val="000000" w:themeColor="text1"/>
          <w14:textFill>
            <w14:solidFill>
              <w14:schemeClr w14:val="tx1"/>
            </w14:solidFill>
          </w14:textFill>
        </w:rPr>
      </w:pPr>
    </w:p>
    <w:p w14:paraId="3ABDBAD1">
      <w:pPr>
        <w:rPr>
          <w:rFonts w:ascii="宋体" w:hAnsi="宋体" w:cs="宋体"/>
          <w:color w:val="000000" w:themeColor="text1"/>
          <w14:textFill>
            <w14:solidFill>
              <w14:schemeClr w14:val="tx1"/>
            </w14:solidFill>
          </w14:textFill>
        </w:rPr>
      </w:pPr>
    </w:p>
    <w:p w14:paraId="35B9FFEF">
      <w:pPr>
        <w:spacing w:line="44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（二）法定代表人身份证明书（格式）</w:t>
      </w:r>
    </w:p>
    <w:p w14:paraId="7DD5BB31">
      <w:pPr>
        <w:tabs>
          <w:tab w:val="left" w:pos="6300"/>
        </w:tabs>
        <w:snapToGrid w:val="0"/>
        <w:spacing w:line="312" w:lineRule="auto"/>
        <w:ind w:firstLine="480"/>
        <w:rPr>
          <w:rFonts w:ascii="宋体" w:hAnsi="宋体" w:cs="宋体"/>
          <w:color w:val="000000" w:themeColor="text1"/>
          <w14:textFill>
            <w14:solidFill>
              <w14:schemeClr w14:val="tx1"/>
            </w14:solidFill>
          </w14:textFill>
        </w:rPr>
      </w:pPr>
    </w:p>
    <w:p w14:paraId="77ADB667">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采购项目名称：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p>
    <w:p w14:paraId="50ED1B22">
      <w:pPr>
        <w:pStyle w:val="22"/>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致：_________________（采购人名称）：</w:t>
      </w:r>
    </w:p>
    <w:p w14:paraId="6EAAFB48">
      <w:pPr>
        <w:pStyle w:val="23"/>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（法定代表人姓名）在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（供应商名称）任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（职务名称）职务，是（供应商名称）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的法定代表人。</w:t>
      </w:r>
    </w:p>
    <w:p w14:paraId="23127BF7">
      <w:pPr>
        <w:pStyle w:val="23"/>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637DC8FD">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特此证明。</w:t>
      </w:r>
    </w:p>
    <w:p w14:paraId="7E835797">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0FBA7C3F">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07D2D4F4">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供应商名称（公章）</w:t>
      </w:r>
    </w:p>
    <w:p w14:paraId="683CBF35">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年   月   日</w:t>
      </w:r>
    </w:p>
    <w:p w14:paraId="7B824A5F">
      <w:pPr>
        <w:tabs>
          <w:tab w:val="left" w:pos="6300"/>
        </w:tabs>
        <w:snapToGrid w:val="0"/>
        <w:spacing w:line="50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4476B31C">
      <w:pPr>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（附：法定代表人身份证正反面复印件）</w:t>
      </w:r>
    </w:p>
    <w:p w14:paraId="3A103A8F">
      <w:pPr>
        <w:rPr>
          <w:rFonts w:ascii="宋体" w:hAnsi="宋体" w:cs="宋体"/>
          <w:color w:val="000000" w:themeColor="text1"/>
          <w14:textFill>
            <w14:solidFill>
              <w14:schemeClr w14:val="tx1"/>
            </w14:solidFill>
          </w14:textFill>
        </w:rPr>
      </w:pPr>
    </w:p>
    <w:p w14:paraId="5D4B252B">
      <w:pPr>
        <w:pStyle w:val="14"/>
        <w:ind w:firstLine="210"/>
        <w:rPr>
          <w:rFonts w:eastAsia="宋体" w:cs="宋体"/>
          <w:color w:val="000000" w:themeColor="text1"/>
          <w14:textFill>
            <w14:solidFill>
              <w14:schemeClr w14:val="tx1"/>
            </w14:solidFill>
          </w14:textFill>
        </w:rPr>
      </w:pPr>
    </w:p>
    <w:p w14:paraId="111BF4F6">
      <w:pPr>
        <w:ind w:firstLine="480"/>
        <w:rPr>
          <w:rFonts w:ascii="宋体" w:hAnsi="宋体" w:cs="宋体"/>
          <w:color w:val="000000" w:themeColor="text1"/>
          <w14:textFill>
            <w14:solidFill>
              <w14:schemeClr w14:val="tx1"/>
            </w14:solidFill>
          </w14:textFill>
        </w:rPr>
      </w:pPr>
    </w:p>
    <w:p w14:paraId="23D21BA1">
      <w:pPr>
        <w:pStyle w:val="14"/>
        <w:ind w:firstLine="210"/>
        <w:rPr>
          <w:rFonts w:eastAsia="宋体" w:cs="宋体"/>
          <w:color w:val="000000" w:themeColor="text1"/>
          <w14:textFill>
            <w14:solidFill>
              <w14:schemeClr w14:val="tx1"/>
            </w14:solidFill>
          </w14:textFill>
        </w:rPr>
      </w:pPr>
    </w:p>
    <w:p w14:paraId="36FE1087">
      <w:pPr>
        <w:ind w:firstLine="480"/>
        <w:rPr>
          <w:rFonts w:ascii="宋体" w:hAnsi="宋体" w:cs="宋体"/>
          <w:color w:val="000000" w:themeColor="text1"/>
          <w14:textFill>
            <w14:solidFill>
              <w14:schemeClr w14:val="tx1"/>
            </w14:solidFill>
          </w14:textFill>
        </w:rPr>
      </w:pPr>
    </w:p>
    <w:p w14:paraId="50A734FD">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724799AF">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132A8EBE">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141C99EE">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7B4FD37C">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665B7D20">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30189FA5">
      <w:pPr>
        <w:pStyle w:val="13"/>
        <w:spacing w:line="324" w:lineRule="atLeast"/>
        <w:ind w:firstLine="482"/>
        <w:jc w:val="center"/>
        <w:rPr>
          <w:rFonts w:ascii="宋体" w:hAnsi="宋体" w:eastAsia="宋体" w:cs="宋体"/>
          <w:b/>
          <w:color w:val="000000" w:themeColor="text1"/>
          <w14:textFill>
            <w14:solidFill>
              <w14:schemeClr w14:val="tx1"/>
            </w14:solidFill>
          </w14:textFill>
        </w:rPr>
      </w:pPr>
    </w:p>
    <w:p w14:paraId="686B4A7A">
      <w:pPr>
        <w:pStyle w:val="13"/>
        <w:spacing w:line="324" w:lineRule="atLeast"/>
        <w:jc w:val="both"/>
        <w:rPr>
          <w:rFonts w:ascii="宋体" w:hAnsi="宋体" w:eastAsia="宋体" w:cs="宋体"/>
          <w:b/>
          <w:color w:val="000000" w:themeColor="text1"/>
          <w14:textFill>
            <w14:solidFill>
              <w14:schemeClr w14:val="tx1"/>
            </w14:solidFill>
          </w14:textFill>
        </w:rPr>
      </w:pPr>
    </w:p>
    <w:p w14:paraId="441E26EC">
      <w:pPr>
        <w:pStyle w:val="13"/>
        <w:spacing w:line="324" w:lineRule="atLeast"/>
        <w:ind w:firstLine="480"/>
        <w:jc w:val="center"/>
        <w:rPr>
          <w:rFonts w:hint="eastAsia" w:ascii="宋体" w:hAnsi="宋体" w:eastAsia="宋体" w:cs="宋体"/>
          <w:bCs/>
          <w:color w:val="000000" w:themeColor="text1"/>
          <w14:textFill>
            <w14:solidFill>
              <w14:schemeClr w14:val="tx1"/>
            </w14:solidFill>
          </w14:textFill>
        </w:rPr>
      </w:pPr>
    </w:p>
    <w:p w14:paraId="7850221C">
      <w:pPr>
        <w:pStyle w:val="13"/>
        <w:spacing w:line="324" w:lineRule="atLeast"/>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法定代表人授权委托书（格式）</w:t>
      </w:r>
      <w:r>
        <w:rPr>
          <w:rFonts w:hint="eastAsia" w:ascii="方正仿宋_GBK" w:hAnsi="方正仿宋_GBK" w:eastAsia="方正仿宋_GBK" w:cs="方正仿宋_GBK"/>
          <w:color w:val="000000" w:themeColor="text1"/>
          <w:sz w:val="32"/>
          <w:szCs w:val="32"/>
          <w14:textFill>
            <w14:solidFill>
              <w14:schemeClr w14:val="tx1"/>
            </w14:solidFill>
          </w14:textFill>
        </w:rPr>
        <w:t>   </w:t>
      </w:r>
    </w:p>
    <w:p w14:paraId="21ADF6F5">
      <w:pPr>
        <w:pStyle w:val="13"/>
        <w:spacing w:line="324"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采购项目名称：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p>
    <w:p w14:paraId="260636FB">
      <w:pPr>
        <w:pStyle w:val="13"/>
        <w:spacing w:line="400" w:lineRule="exac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（采购人名称）：</w:t>
      </w:r>
    </w:p>
    <w:p w14:paraId="0E1C4C8E">
      <w:pPr>
        <w:pStyle w:val="13"/>
        <w:spacing w:line="400" w:lineRule="exac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（供应商法定代表人名称）是</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（供应商名称）的法定代表人，特授权</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（被授权人姓名及身份证代码）代表我单位全权办理上述项目的投标、签约等具体工作，并签署全部有关文件、协议及合同。</w:t>
      </w:r>
    </w:p>
    <w:p w14:paraId="395CFB9E">
      <w:pPr>
        <w:pStyle w:val="13"/>
        <w:spacing w:line="400" w:lineRule="exac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我单位对被授权人的签字负全部责任。</w:t>
      </w:r>
    </w:p>
    <w:p w14:paraId="0B639F1F">
      <w:pPr>
        <w:pStyle w:val="13"/>
        <w:spacing w:line="400" w:lineRule="exac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在撤消授权的书面通知以前，本授权书一直有效。被授权人在授权书有效期内签署的所有文件不因授权的撤消而失效。</w:t>
      </w:r>
    </w:p>
    <w:p w14:paraId="41B00579">
      <w:pPr>
        <w:pStyle w:val="13"/>
        <w:spacing w:line="27"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14:paraId="522220BE">
      <w:pPr>
        <w:pStyle w:val="13"/>
        <w:spacing w:line="324"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被授权人：                            供应商法定代表人：</w:t>
      </w:r>
    </w:p>
    <w:p w14:paraId="0FB32CCD">
      <w:pPr>
        <w:pStyle w:val="13"/>
        <w:spacing w:line="324" w:lineRule="atLeas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（签字或盖章）                           （签字或盖章）</w:t>
      </w:r>
    </w:p>
    <w:p w14:paraId="1A5363B4">
      <w:pPr>
        <w:pStyle w:val="13"/>
        <w:spacing w:line="324"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14:paraId="7072CE9E">
      <w:pPr>
        <w:pStyle w:val="13"/>
        <w:spacing w:line="324"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（附：被授权人身份证正反面复印件）</w:t>
      </w:r>
    </w:p>
    <w:p w14:paraId="763C6FDA">
      <w:pPr>
        <w:pStyle w:val="13"/>
        <w:spacing w:line="324" w:lineRule="atLeast"/>
        <w:ind w:firstLine="42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w:t>
      </w:r>
    </w:p>
    <w:p w14:paraId="03AB33E5">
      <w:pPr>
        <w:pStyle w:val="13"/>
        <w:spacing w:line="324" w:lineRule="atLeast"/>
        <w:ind w:firstLine="3840" w:firstLineChars="1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（供应商公章）</w:t>
      </w:r>
    </w:p>
    <w:p w14:paraId="766FC6AC">
      <w:pPr>
        <w:pStyle w:val="14"/>
        <w:ind w:firstLine="21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   月   日</w:t>
      </w:r>
    </w:p>
    <w:p w14:paraId="1C57E5BC">
      <w:pPr>
        <w:ind w:firstLine="480"/>
        <w:rPr>
          <w:rFonts w:ascii="宋体" w:hAnsi="宋体" w:cs="宋体"/>
          <w:color w:val="000000" w:themeColor="text1"/>
          <w14:textFill>
            <w14:solidFill>
              <w14:schemeClr w14:val="tx1"/>
            </w14:solidFill>
          </w14:textFill>
        </w:rPr>
      </w:pPr>
    </w:p>
    <w:bookmarkEnd w:id="3"/>
    <w:p w14:paraId="0F37F908">
      <w:pPr>
        <w:spacing w:line="312" w:lineRule="auto"/>
        <w:jc w:val="center"/>
        <w:rPr>
          <w:rFonts w:ascii="宋体" w:hAnsi="宋体" w:cs="宋体"/>
          <w:color w:val="000000" w:themeColor="text1"/>
          <w14:textFill>
            <w14:solidFill>
              <w14:schemeClr w14:val="tx1"/>
            </w14:solidFill>
          </w14:textFill>
        </w:rPr>
      </w:pPr>
      <w:bookmarkStart w:id="6" w:name="_Toc16943"/>
    </w:p>
    <w:p w14:paraId="37D45193">
      <w:pPr>
        <w:spacing w:line="312" w:lineRule="auto"/>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（三）书面声明</w:t>
      </w:r>
      <w:bookmarkEnd w:id="6"/>
    </w:p>
    <w:p w14:paraId="0D9B5445">
      <w:pPr>
        <w:tabs>
          <w:tab w:val="left" w:pos="6300"/>
        </w:tabs>
        <w:snapToGrid w:val="0"/>
        <w:spacing w:line="500" w:lineRule="exact"/>
        <w:ind w:firstLine="480"/>
        <w:rPr>
          <w:rFonts w:ascii="宋体" w:hAnsi="宋体" w:cs="宋体"/>
          <w:color w:val="000000" w:themeColor="text1"/>
          <w14:textFill>
            <w14:solidFill>
              <w14:schemeClr w14:val="tx1"/>
            </w14:solidFill>
          </w14:textFill>
        </w:rPr>
      </w:pPr>
    </w:p>
    <w:p w14:paraId="383489CA">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致</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采购人名称</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w:t>
      </w:r>
    </w:p>
    <w:p w14:paraId="48AAA365">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（供应商名称）郑重承诺：</w:t>
      </w:r>
    </w:p>
    <w:p w14:paraId="73C43C49">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1.我方具有良好的商业信誉和健全的财务会计制度，具有履行合同所必需的设备和专业技术能力，具</w:t>
      </w:r>
      <w:r>
        <w:rPr>
          <w:rFonts w:hint="eastAsia" w:ascii="方正仿宋_GBK" w:hAnsi="方正仿宋_GBK" w:eastAsia="方正仿宋_GBK" w:cs="方正仿宋_GBK"/>
          <w:color w:val="000000" w:themeColor="text1"/>
          <w:sz w:val="32"/>
          <w:szCs w:val="32"/>
          <w:lang w:val="zh-CN"/>
          <w14:textFill>
            <w14:solidFill>
              <w14:schemeClr w14:val="tx1"/>
            </w14:solidFill>
          </w14:textFill>
        </w:rPr>
        <w:t>有依法缴纳税收和社会保障金的良好记录</w:t>
      </w:r>
      <w:r>
        <w:rPr>
          <w:rFonts w:hint="eastAsia" w:ascii="方正仿宋_GBK" w:hAnsi="方正仿宋_GBK" w:eastAsia="方正仿宋_GBK" w:cs="方正仿宋_GBK"/>
          <w:color w:val="000000" w:themeColor="text1"/>
          <w:sz w:val="32"/>
          <w:szCs w:val="32"/>
          <w14:textFill>
            <w14:solidFill>
              <w14:schemeClr w14:val="tx1"/>
            </w14:solidFill>
          </w14:textFill>
        </w:rPr>
        <w:t>，参加本项目采购活动前三年内无重大违法活动记录。</w:t>
      </w:r>
    </w:p>
    <w:p w14:paraId="1F58173E">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2.我方未列入在信用中国网站（www.creditchina.gov.cn）“失信被执行人”、“重大税收违法案件当事人名单”中，也未列入中国政府采购网（www.ccgp.gov.cn）“政府采购严重违法失信行为记录名单”中。</w:t>
      </w:r>
    </w:p>
    <w:p w14:paraId="0541DC5A">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3.我方在采购项目评审（评标）环节结束后，随时接受采购人、采购代理机构的检查验证，配合提供相关证明材料，证明符合《中华人民共和国政府采购法》规定的供应商基本资格条件。</w:t>
      </w:r>
    </w:p>
    <w:p w14:paraId="642A6395">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我方对以上承诺负全部法律责任。</w:t>
      </w:r>
    </w:p>
    <w:p w14:paraId="66021025">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特此承诺。</w:t>
      </w:r>
    </w:p>
    <w:p w14:paraId="61CFF26D">
      <w:pPr>
        <w:tabs>
          <w:tab w:val="left" w:pos="6300"/>
        </w:tabs>
        <w:snapToGrid w:val="0"/>
        <w:spacing w:line="53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5027BFAD">
      <w:pPr>
        <w:tabs>
          <w:tab w:val="left" w:pos="6300"/>
        </w:tabs>
        <w:snapToGrid w:val="0"/>
        <w:spacing w:line="500" w:lineRule="exact"/>
        <w:ind w:right="480" w:firstLine="480"/>
        <w:jc w:val="righ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（供应商公章）</w:t>
      </w:r>
    </w:p>
    <w:p w14:paraId="77A8A58E">
      <w:pPr>
        <w:tabs>
          <w:tab w:val="left" w:pos="6300"/>
        </w:tabs>
        <w:snapToGrid w:val="0"/>
        <w:spacing w:line="500" w:lineRule="exact"/>
        <w:ind w:right="480" w:firstLine="5523" w:firstLineChars="1726"/>
        <w:rPr>
          <w:rFonts w:hint="eastAsia" w:ascii="方正仿宋_GBK" w:hAnsi="方正仿宋_GBK" w:eastAsia="方正仿宋_GBK" w:cs="方正仿宋_GBK"/>
          <w:color w:val="000000" w:themeColor="text1"/>
          <w:sz w:val="32"/>
          <w:szCs w:val="32"/>
          <w:lang w:val="zh-CN"/>
          <w14:textFill>
            <w14:solidFill>
              <w14:schemeClr w14:val="tx1"/>
            </w14:solidFill>
          </w14:textFill>
        </w:rPr>
      </w:pPr>
    </w:p>
    <w:p w14:paraId="4515CF68">
      <w:pPr>
        <w:tabs>
          <w:tab w:val="left" w:pos="6300"/>
        </w:tabs>
        <w:snapToGrid w:val="0"/>
        <w:spacing w:line="500" w:lineRule="exact"/>
        <w:ind w:right="480" w:firstLine="5440" w:firstLineChars="1700"/>
        <w:rPr>
          <w:rFonts w:hint="eastAsia" w:ascii="方正仿宋_GBK" w:hAnsi="方正仿宋_GBK" w:eastAsia="方正仿宋_GBK" w:cs="方正仿宋_GBK"/>
          <w:color w:val="000000" w:themeColor="text1"/>
          <w:sz w:val="32"/>
          <w:szCs w:val="32"/>
          <w:lang w:val="zh-CN"/>
          <w14:textFill>
            <w14:solidFill>
              <w14:schemeClr w14:val="tx1"/>
            </w14:solidFill>
          </w14:textFill>
        </w:rPr>
      </w:pPr>
      <w:r>
        <w:rPr>
          <w:rFonts w:hint="eastAsia" w:ascii="方正仿宋_GBK" w:hAnsi="方正仿宋_GBK" w:eastAsia="方正仿宋_GBK" w:cs="方正仿宋_GBK"/>
          <w:color w:val="000000" w:themeColor="text1"/>
          <w:sz w:val="32"/>
          <w:szCs w:val="32"/>
          <w:lang w:val="zh-CN"/>
          <w14:textFill>
            <w14:solidFill>
              <w14:schemeClr w14:val="tx1"/>
            </w14:solidFill>
          </w14:textFill>
        </w:rPr>
        <w:t>年   月   日</w:t>
      </w:r>
    </w:p>
    <w:p w14:paraId="0A597D39">
      <w:pPr>
        <w:tabs>
          <w:tab w:val="left" w:pos="6300"/>
        </w:tabs>
        <w:snapToGrid w:val="0"/>
        <w:spacing w:line="500" w:lineRule="exact"/>
        <w:ind w:right="480" w:firstLine="480"/>
        <w:rPr>
          <w:rFonts w:hint="eastAsia" w:ascii="方正仿宋_GBK" w:hAnsi="方正仿宋_GBK" w:eastAsia="方正仿宋_GBK" w:cs="方正仿宋_GBK"/>
          <w:color w:val="000000" w:themeColor="text1"/>
          <w:sz w:val="32"/>
          <w:szCs w:val="32"/>
          <w:lang w:val="zh-CN"/>
          <w14:textFill>
            <w14:solidFill>
              <w14:schemeClr w14:val="tx1"/>
            </w14:solidFill>
          </w14:textFill>
        </w:rPr>
      </w:pPr>
    </w:p>
    <w:p w14:paraId="4119854B">
      <w:pPr>
        <w:spacing w:line="400" w:lineRule="exact"/>
        <w:rPr>
          <w:rFonts w:ascii="宋体" w:hAnsi="宋体" w:cs="宋体"/>
          <w:b/>
          <w:bCs/>
          <w:color w:val="000000" w:themeColor="text1"/>
          <w14:textFill>
            <w14:solidFill>
              <w14:schemeClr w14:val="tx1"/>
            </w14:solidFill>
          </w14:textFill>
        </w:rPr>
      </w:pPr>
    </w:p>
    <w:p w14:paraId="4C68AA8C">
      <w:pPr>
        <w:pStyle w:val="14"/>
        <w:ind w:firstLine="211"/>
        <w:rPr>
          <w:rFonts w:eastAsia="宋体" w:cs="宋体"/>
          <w:b/>
          <w:bCs/>
          <w:color w:val="000000" w:themeColor="text1"/>
          <w14:textFill>
            <w14:solidFill>
              <w14:schemeClr w14:val="tx1"/>
            </w14:solidFill>
          </w14:textFill>
        </w:rPr>
      </w:pPr>
    </w:p>
    <w:p w14:paraId="2810F14F">
      <w:pPr>
        <w:ind w:firstLine="482"/>
        <w:rPr>
          <w:rFonts w:ascii="宋体" w:hAnsi="宋体" w:cs="宋体"/>
          <w:b/>
          <w:bCs/>
          <w:color w:val="000000" w:themeColor="text1"/>
          <w14:textFill>
            <w14:solidFill>
              <w14:schemeClr w14:val="tx1"/>
            </w14:solidFill>
          </w14:textFill>
        </w:rPr>
      </w:pPr>
    </w:p>
    <w:p w14:paraId="456D7D7A">
      <w:pPr>
        <w:pStyle w:val="7"/>
        <w:ind w:firstLine="640" w:firstLineChars="200"/>
        <w:rPr>
          <w:rFonts w:hint="eastAsia" w:ascii="方正仿宋_GBK" w:hAnsi="方正仿宋_GBK" w:eastAsia="方正仿宋_GBK" w:cs="方正仿宋_GBK"/>
          <w:b/>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（四）其他资料</w:t>
      </w:r>
    </w:p>
    <w:p w14:paraId="45A17374">
      <w:pPr>
        <w:spacing w:line="44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其他与项目有关的资料（自附）</w:t>
      </w:r>
    </w:p>
    <w:p w14:paraId="6C0ADF3E">
      <w:pPr>
        <w:pStyle w:val="7"/>
        <w:spacing w:line="440" w:lineRule="exact"/>
        <w:ind w:firstLine="480"/>
        <w:rPr>
          <w:rFonts w:hint="eastAsia" w:ascii="方正仿宋_GBK" w:hAnsi="方正仿宋_GBK" w:eastAsia="方正仿宋_GBK" w:cs="方正仿宋_GBK"/>
          <w:color w:val="000000" w:themeColor="text1"/>
          <w:sz w:val="32"/>
          <w:szCs w:val="32"/>
          <w14:textFill>
            <w14:solidFill>
              <w14:schemeClr w14:val="tx1"/>
            </w14:solidFill>
          </w14:textFill>
        </w:rPr>
      </w:pPr>
    </w:p>
    <w:p w14:paraId="2AD61B5E">
      <w:pPr>
        <w:pStyle w:val="7"/>
        <w:spacing w:line="440" w:lineRule="exact"/>
        <w:ind w:firstLine="480"/>
        <w:rPr>
          <w:rFonts w:cs="宋体"/>
          <w:color w:val="000000" w:themeColor="text1"/>
          <w:sz w:val="24"/>
          <w14:textFill>
            <w14:solidFill>
              <w14:schemeClr w14:val="tx1"/>
            </w14:solidFill>
          </w14:textFill>
        </w:rPr>
      </w:pPr>
    </w:p>
    <w:p w14:paraId="1CD2033E">
      <w:pPr>
        <w:pStyle w:val="7"/>
        <w:spacing w:line="440" w:lineRule="exact"/>
        <w:ind w:firstLine="480"/>
        <w:rPr>
          <w:rFonts w:cs="宋体"/>
          <w:color w:val="000000" w:themeColor="text1"/>
          <w:sz w:val="24"/>
          <w14:textFill>
            <w14:solidFill>
              <w14:schemeClr w14:val="tx1"/>
            </w14:solidFill>
          </w14:textFill>
        </w:rPr>
      </w:pPr>
    </w:p>
    <w:p w14:paraId="5CE3C35B">
      <w:pPr>
        <w:spacing w:line="440" w:lineRule="exact"/>
        <w:ind w:firstLine="480"/>
        <w:jc w:val="center"/>
        <w:rPr>
          <w:rFonts w:ascii="宋体" w:hAnsi="宋体" w:cs="宋体"/>
          <w:color w:val="000000" w:themeColor="text1"/>
          <w14:textFill>
            <w14:solidFill>
              <w14:schemeClr w14:val="tx1"/>
            </w14:solidFill>
          </w14:textFill>
        </w:rPr>
      </w:pPr>
    </w:p>
    <w:p w14:paraId="03BE8589">
      <w:pPr>
        <w:spacing w:line="440" w:lineRule="exact"/>
        <w:ind w:firstLine="480"/>
        <w:jc w:val="center"/>
        <w:rPr>
          <w:rFonts w:ascii="宋体" w:hAnsi="宋体" w:cs="宋体"/>
          <w:color w:val="000000" w:themeColor="text1"/>
          <w14:textFill>
            <w14:solidFill>
              <w14:schemeClr w14:val="tx1"/>
            </w14:solidFill>
          </w14:textFill>
        </w:rPr>
      </w:pPr>
    </w:p>
    <w:p w14:paraId="069AA531">
      <w:pPr>
        <w:spacing w:line="440" w:lineRule="exact"/>
        <w:ind w:firstLine="480"/>
        <w:jc w:val="center"/>
        <w:rPr>
          <w:rFonts w:ascii="宋体" w:hAnsi="宋体" w:cs="宋体"/>
          <w:color w:val="000000" w:themeColor="text1"/>
          <w14:textFill>
            <w14:solidFill>
              <w14:schemeClr w14:val="tx1"/>
            </w14:solidFill>
          </w14:textFill>
        </w:rPr>
      </w:pPr>
    </w:p>
    <w:p w14:paraId="6B01B770">
      <w:pPr>
        <w:spacing w:line="440" w:lineRule="exact"/>
        <w:ind w:firstLine="480"/>
        <w:jc w:val="center"/>
        <w:rPr>
          <w:rFonts w:ascii="宋体" w:hAnsi="宋体" w:cs="宋体"/>
          <w:color w:val="000000" w:themeColor="text1"/>
          <w14:textFill>
            <w14:solidFill>
              <w14:schemeClr w14:val="tx1"/>
            </w14:solidFill>
          </w14:textFill>
        </w:rPr>
      </w:pPr>
    </w:p>
    <w:p w14:paraId="0D582754">
      <w:pPr>
        <w:spacing w:line="440" w:lineRule="exact"/>
        <w:ind w:firstLine="480"/>
        <w:jc w:val="center"/>
        <w:rPr>
          <w:rFonts w:ascii="宋体" w:hAnsi="宋体" w:cs="宋体"/>
          <w:color w:val="000000" w:themeColor="text1"/>
          <w14:textFill>
            <w14:solidFill>
              <w14:schemeClr w14:val="tx1"/>
            </w14:solidFill>
          </w14:textFill>
        </w:rPr>
      </w:pPr>
    </w:p>
    <w:p w14:paraId="0D251589">
      <w:pPr>
        <w:spacing w:line="440" w:lineRule="exact"/>
        <w:ind w:firstLine="480"/>
        <w:jc w:val="center"/>
        <w:rPr>
          <w:rFonts w:ascii="宋体" w:hAnsi="宋体" w:cs="宋体"/>
          <w:color w:val="000000" w:themeColor="text1"/>
          <w14:textFill>
            <w14:solidFill>
              <w14:schemeClr w14:val="tx1"/>
            </w14:solidFill>
          </w14:textFill>
        </w:rPr>
      </w:pPr>
    </w:p>
    <w:p w14:paraId="14CB8D2C">
      <w:pPr>
        <w:spacing w:line="440" w:lineRule="exact"/>
        <w:ind w:firstLine="480"/>
        <w:jc w:val="center"/>
        <w:rPr>
          <w:rFonts w:ascii="宋体" w:hAnsi="宋体" w:cs="宋体"/>
          <w:color w:val="000000" w:themeColor="text1"/>
          <w14:textFill>
            <w14:solidFill>
              <w14:schemeClr w14:val="tx1"/>
            </w14:solidFill>
          </w14:textFill>
        </w:rPr>
      </w:pPr>
    </w:p>
    <w:p w14:paraId="15D025BE">
      <w:pPr>
        <w:spacing w:line="440" w:lineRule="exact"/>
        <w:ind w:firstLine="480"/>
        <w:jc w:val="center"/>
        <w:rPr>
          <w:rFonts w:ascii="宋体" w:hAnsi="宋体" w:cs="宋体"/>
          <w:color w:val="000000" w:themeColor="text1"/>
          <w14:textFill>
            <w14:solidFill>
              <w14:schemeClr w14:val="tx1"/>
            </w14:solidFill>
          </w14:textFill>
        </w:rPr>
      </w:pPr>
    </w:p>
    <w:p w14:paraId="5B76E74A">
      <w:pPr>
        <w:spacing w:line="440" w:lineRule="exact"/>
        <w:ind w:firstLine="480"/>
        <w:jc w:val="center"/>
        <w:rPr>
          <w:rFonts w:ascii="宋体" w:hAnsi="宋体" w:cs="宋体"/>
          <w:color w:val="000000" w:themeColor="text1"/>
          <w14:textFill>
            <w14:solidFill>
              <w14:schemeClr w14:val="tx1"/>
            </w14:solidFill>
          </w14:textFill>
        </w:rPr>
      </w:pPr>
    </w:p>
    <w:p w14:paraId="0BD9DCD8">
      <w:pPr>
        <w:spacing w:line="440" w:lineRule="exact"/>
        <w:ind w:firstLine="480"/>
        <w:jc w:val="center"/>
        <w:rPr>
          <w:rFonts w:ascii="宋体" w:hAnsi="宋体" w:cs="宋体"/>
          <w:color w:val="000000" w:themeColor="text1"/>
          <w14:textFill>
            <w14:solidFill>
              <w14:schemeClr w14:val="tx1"/>
            </w14:solidFill>
          </w14:textFill>
        </w:rPr>
      </w:pPr>
    </w:p>
    <w:p w14:paraId="16BACC62">
      <w:pPr>
        <w:spacing w:line="440" w:lineRule="exact"/>
        <w:ind w:firstLine="480"/>
        <w:jc w:val="center"/>
        <w:rPr>
          <w:rFonts w:ascii="宋体" w:hAnsi="宋体" w:cs="宋体"/>
          <w:color w:val="000000" w:themeColor="text1"/>
          <w14:textFill>
            <w14:solidFill>
              <w14:schemeClr w14:val="tx1"/>
            </w14:solidFill>
          </w14:textFill>
        </w:rPr>
      </w:pPr>
    </w:p>
    <w:p w14:paraId="437CE779">
      <w:pPr>
        <w:spacing w:line="440" w:lineRule="exact"/>
        <w:ind w:firstLine="48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（结束）</w:t>
      </w:r>
    </w:p>
    <w:p w14:paraId="4D766EAF">
      <w:pPr>
        <w:spacing w:line="440" w:lineRule="exact"/>
        <w:ind w:firstLine="480"/>
        <w:rPr>
          <w:rFonts w:ascii="宋体" w:hAnsi="宋体" w:cs="宋体"/>
          <w:color w:val="000000" w:themeColor="text1"/>
          <w14:textFill>
            <w14:solidFill>
              <w14:schemeClr w14:val="tx1"/>
            </w14:solidFill>
          </w14:textFill>
        </w:rPr>
      </w:pPr>
    </w:p>
    <w:p w14:paraId="7DB9D1B0">
      <w:pPr>
        <w:tabs>
          <w:tab w:val="left" w:pos="6300"/>
        </w:tabs>
        <w:snapToGrid w:val="0"/>
        <w:spacing w:line="312" w:lineRule="auto"/>
        <w:rPr>
          <w:rFonts w:ascii="宋体" w:hAnsi="宋体" w:cs="宋体"/>
          <w:b/>
          <w:bCs/>
          <w:color w:val="000000" w:themeColor="text1"/>
          <w14:textFill>
            <w14:solidFill>
              <w14:schemeClr w14:val="tx1"/>
            </w14:solidFill>
          </w14:textFill>
        </w:rPr>
      </w:pPr>
    </w:p>
    <w:p w14:paraId="0145B598">
      <w:pPr>
        <w:rPr>
          <w:rFonts w:asciiTheme="minorEastAsia" w:hAnsiTheme="minorEastAsia"/>
          <w:color w:val="000000" w:themeColor="text1"/>
          <w:sz w:val="24"/>
          <w14:textFill>
            <w14:solidFill>
              <w14:schemeClr w14:val="tx1"/>
            </w14:solidFill>
          </w14:textFill>
        </w:rPr>
      </w:pPr>
    </w:p>
    <w:p w14:paraId="78D880D6">
      <w:pPr>
        <w:tabs>
          <w:tab w:val="left" w:pos="1580"/>
          <w:tab w:val="left" w:pos="6000"/>
          <w:tab w:val="left" w:pos="6320"/>
          <w:tab w:val="left" w:pos="6887"/>
          <w:tab w:val="left" w:pos="7475"/>
        </w:tabs>
        <w:autoSpaceDE w:val="0"/>
        <w:autoSpaceDN w:val="0"/>
        <w:adjustRightInd w:val="0"/>
        <w:snapToGrid w:val="0"/>
        <w:spacing w:line="400" w:lineRule="exact"/>
        <w:ind w:left="57" w:leftChars="-51" w:hanging="164" w:hangingChars="51"/>
        <w:jc w:val="left"/>
        <w:rPr>
          <w:rFonts w:ascii="方正仿宋_GBK" w:hAnsi="宋体" w:eastAsia="方正仿宋_GBK"/>
          <w:b/>
          <w:bCs/>
          <w:color w:val="000000" w:themeColor="text1"/>
          <w:sz w:val="32"/>
          <w:szCs w:val="32"/>
          <w14:textFill>
            <w14:solidFill>
              <w14:schemeClr w14:val="tx1"/>
            </w14:solidFill>
          </w14:textFill>
        </w:rPr>
      </w:pPr>
    </w:p>
    <w:p w14:paraId="47BFE771">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F8BB">
    <w:pPr>
      <w:pStyle w:val="9"/>
      <w:ind w:firstLine="422"/>
      <w:jc w:val="center"/>
      <w:rPr>
        <w:rFonts w:ascii="宋体" w:hAnsi="宋体"/>
        <w:szCs w:val="21"/>
      </w:rPr>
    </w:pPr>
    <w:r>
      <w:rPr>
        <w:rFonts w:ascii="宋体" w:hAnsi="宋体"/>
        <w:szCs w:val="21"/>
      </w:rPr>
      <w:fldChar w:fldCharType="begin"/>
    </w:r>
    <w:r>
      <w:rPr>
        <w:rStyle w:val="17"/>
        <w:rFonts w:ascii="宋体" w:hAnsi="宋体"/>
        <w:szCs w:val="21"/>
      </w:rPr>
      <w:instrText xml:space="preserve"> PAGE </w:instrText>
    </w:r>
    <w:r>
      <w:rPr>
        <w:rFonts w:ascii="宋体" w:hAnsi="宋体"/>
        <w:szCs w:val="21"/>
      </w:rPr>
      <w:fldChar w:fldCharType="separate"/>
    </w:r>
    <w:r>
      <w:rPr>
        <w:rStyle w:val="17"/>
        <w:rFonts w:ascii="宋体" w:hAnsi="宋体"/>
        <w:szCs w:val="21"/>
      </w:rPr>
      <w:t>- 11 -</w:t>
    </w:r>
    <w:r>
      <w:rPr>
        <w:rFonts w:ascii="宋体" w:hAnsi="宋体"/>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8811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DC297">
    <w:pPr>
      <w:pStyle w:val="10"/>
      <w:ind w:firstLine="64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3B4E5">
    <w:pPr>
      <w:pStyle w:val="10"/>
      <w:pBdr>
        <w:bottom w:val="none" w:color="auto" w:sz="0" w:space="0"/>
      </w:pBdr>
      <w:ind w:firstLine="640"/>
      <w:rPr>
        <w:rFonts w:ascii="楷体_GB2312" w:eastAsia="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BA71E"/>
    <w:multiLevelType w:val="singleLevel"/>
    <w:tmpl w:val="836BA71E"/>
    <w:lvl w:ilvl="0" w:tentative="0">
      <w:start w:val="1"/>
      <w:numFmt w:val="decimal"/>
      <w:lvlText w:val="(%1)"/>
      <w:lvlJc w:val="left"/>
      <w:pPr>
        <w:ind w:left="425" w:hanging="425"/>
      </w:pPr>
      <w:rPr>
        <w:rFonts w:hint="default"/>
      </w:rPr>
    </w:lvl>
  </w:abstractNum>
  <w:abstractNum w:abstractNumId="1">
    <w:nsid w:val="9E22B8A5"/>
    <w:multiLevelType w:val="singleLevel"/>
    <w:tmpl w:val="9E22B8A5"/>
    <w:lvl w:ilvl="0" w:tentative="0">
      <w:start w:val="1"/>
      <w:numFmt w:val="decimal"/>
      <w:lvlText w:val="(%1)"/>
      <w:lvlJc w:val="left"/>
      <w:pPr>
        <w:ind w:left="425" w:hanging="425"/>
      </w:pPr>
      <w:rPr>
        <w:rFonts w:hint="default"/>
      </w:rPr>
    </w:lvl>
  </w:abstractNum>
  <w:abstractNum w:abstractNumId="2">
    <w:nsid w:val="09F121FF"/>
    <w:multiLevelType w:val="multilevel"/>
    <w:tmpl w:val="09F121F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A283557"/>
    <w:multiLevelType w:val="multilevel"/>
    <w:tmpl w:val="1A283557"/>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CDA0416"/>
    <w:multiLevelType w:val="multilevel"/>
    <w:tmpl w:val="1CDA041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DE45011"/>
    <w:multiLevelType w:val="multilevel"/>
    <w:tmpl w:val="2DE45011"/>
    <w:lvl w:ilvl="0" w:tentative="0">
      <w:start w:val="1"/>
      <w:numFmt w:val="decimal"/>
      <w:lvlText w:val="%1、"/>
      <w:lvlJc w:val="left"/>
      <w:pPr>
        <w:ind w:left="360" w:hanging="360"/>
      </w:pPr>
      <w:rPr>
        <w:rFonts w:hint="default"/>
      </w:rPr>
    </w:lvl>
    <w:lvl w:ilvl="1" w:tentative="0">
      <w:start w:val="4"/>
      <w:numFmt w:val="decimal"/>
      <w:lvlText w:val="（%2）"/>
      <w:lvlJc w:val="left"/>
      <w:pPr>
        <w:ind w:left="72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452594E"/>
    <w:multiLevelType w:val="multilevel"/>
    <w:tmpl w:val="3452594E"/>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7406170"/>
    <w:multiLevelType w:val="multilevel"/>
    <w:tmpl w:val="3740617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E89AD8C"/>
    <w:multiLevelType w:val="singleLevel"/>
    <w:tmpl w:val="3E89AD8C"/>
    <w:lvl w:ilvl="0" w:tentative="0">
      <w:start w:val="1"/>
      <w:numFmt w:val="decimal"/>
      <w:lvlText w:val="(%1)"/>
      <w:lvlJc w:val="left"/>
      <w:pPr>
        <w:ind w:left="425" w:hanging="425"/>
      </w:pPr>
      <w:rPr>
        <w:rFonts w:hint="default"/>
      </w:rPr>
    </w:lvl>
  </w:abstractNum>
  <w:abstractNum w:abstractNumId="9">
    <w:nsid w:val="46137C28"/>
    <w:multiLevelType w:val="multilevel"/>
    <w:tmpl w:val="46137C2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77500E5F"/>
    <w:multiLevelType w:val="multilevel"/>
    <w:tmpl w:val="77500E5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6"/>
  </w:num>
  <w:num w:numId="2">
    <w:abstractNumId w:val="9"/>
  </w:num>
  <w:num w:numId="3">
    <w:abstractNumId w:val="7"/>
  </w:num>
  <w:num w:numId="4">
    <w:abstractNumId w:val="3"/>
  </w:num>
  <w:num w:numId="5">
    <w:abstractNumId w:val="5"/>
  </w:num>
  <w:num w:numId="6">
    <w:abstractNumId w:val="4"/>
  </w:num>
  <w:num w:numId="7">
    <w:abstractNumId w:val="10"/>
  </w:num>
  <w:num w:numId="8">
    <w:abstractNumId w:val="2"/>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94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semiHidden/>
    <w:unhideWhenUsed/>
    <w:qFormat/>
    <w:uiPriority w:val="99"/>
    <w:pPr>
      <w:ind w:firstLine="420" w:firstLineChars="200"/>
    </w:pPr>
  </w:style>
  <w:style w:type="paragraph" w:styleId="7">
    <w:name w:val="Body Text"/>
    <w:basedOn w:val="1"/>
    <w:semiHidden/>
    <w:unhideWhenUsed/>
    <w:qFormat/>
    <w:uiPriority w:val="99"/>
    <w:pPr>
      <w:spacing w:after="120"/>
    </w:pPr>
  </w:style>
  <w:style w:type="paragraph" w:styleId="8">
    <w:name w:val="Plain Text"/>
    <w:basedOn w:val="1"/>
    <w:qFormat/>
    <w:uiPriority w:val="0"/>
    <w:rPr>
      <w:rFonts w:ascii="宋体" w:hAnsi="Courier New" w:cstheme="minorBidi"/>
      <w:szCs w:val="22"/>
    </w:rPr>
  </w:style>
  <w:style w:type="paragraph" w:styleId="9">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szCs w:val="20"/>
    </w:rPr>
  </w:style>
  <w:style w:type="paragraph" w:styleId="12">
    <w:name w:val="index 9"/>
    <w:basedOn w:val="1"/>
    <w:next w:val="1"/>
    <w:qFormat/>
    <w:uiPriority w:val="0"/>
    <w:pPr>
      <w:widowControl/>
      <w:spacing w:line="320" w:lineRule="exact"/>
      <w:ind w:left="1600" w:leftChars="1600" w:firstLine="200" w:firstLineChars="200"/>
      <w:jc w:val="left"/>
    </w:pPr>
    <w:rPr>
      <w:rFonts w:eastAsia="仿宋_GB2312"/>
      <w:sz w:val="24"/>
    </w:rPr>
  </w:style>
  <w:style w:type="paragraph" w:styleId="13">
    <w:name w:val="Normal (Web)"/>
    <w:basedOn w:val="1"/>
    <w:qFormat/>
    <w:uiPriority w:val="0"/>
    <w:pPr>
      <w:spacing w:before="100" w:beforeAutospacing="1" w:after="100" w:afterAutospacing="1"/>
      <w:jc w:val="left"/>
    </w:pPr>
    <w:rPr>
      <w:rFonts w:asciiTheme="minorHAnsi" w:hAnsiTheme="minorHAnsi" w:eastAsiaTheme="minorEastAsia"/>
      <w:kern w:val="0"/>
      <w:sz w:val="24"/>
      <w:szCs w:val="22"/>
    </w:rPr>
  </w:style>
  <w:style w:type="paragraph" w:styleId="14">
    <w:name w:val="Body Text First Indent"/>
    <w:basedOn w:val="7"/>
    <w:qFormat/>
    <w:uiPriority w:val="0"/>
    <w:pPr>
      <w:ind w:firstLine="420" w:firstLineChars="100"/>
    </w:pPr>
    <w:rPr>
      <w:rFonts w:asciiTheme="minorHAnsi" w:hAnsiTheme="minorHAnsi" w:eastAsiaTheme="minorEastAsia" w:cstheme="minorBidi"/>
      <w:szCs w:val="22"/>
    </w:rPr>
  </w:style>
  <w:style w:type="character" w:styleId="17">
    <w:name w:val="page number"/>
    <w:qFormat/>
    <w:uiPriority w:val="0"/>
    <w:rPr>
      <w:lang w:val="en-US" w:eastAsia="en-US" w:bidi="ar-SA"/>
    </w:rPr>
  </w:style>
  <w:style w:type="paragraph" w:customStyle="1" w:styleId="18">
    <w:name w:val="样式 正文（首行缩进两字） + 宋体 小四"/>
    <w:basedOn w:val="6"/>
    <w:qFormat/>
    <w:uiPriority w:val="0"/>
    <w:pPr>
      <w:spacing w:line="100" w:lineRule="atLeast"/>
      <w:ind w:firstLine="614" w:firstLineChars="192"/>
      <w:jc w:val="left"/>
    </w:pPr>
    <w:rPr>
      <w:rFonts w:ascii="仿宋_GB2312" w:hAnsi="宋体" w:eastAsia="仿宋_GB2312"/>
      <w:sz w:val="32"/>
      <w:szCs w:val="20"/>
    </w:rPr>
  </w:style>
  <w:style w:type="character" w:customStyle="1" w:styleId="19">
    <w:name w:val="NormalCharacter"/>
    <w:qFormat/>
    <w:uiPriority w:val="0"/>
  </w:style>
  <w:style w:type="paragraph" w:customStyle="1" w:styleId="20">
    <w:name w:val="Table Paragraph"/>
    <w:basedOn w:val="1"/>
    <w:qFormat/>
    <w:uiPriority w:val="1"/>
    <w:pPr>
      <w:jc w:val="left"/>
    </w:pPr>
    <w:rPr>
      <w:rFonts w:ascii="宋体" w:hAnsi="宋体"/>
      <w:kern w:val="0"/>
      <w:sz w:val="22"/>
      <w:szCs w:val="20"/>
      <w:lang w:eastAsia="en-US"/>
    </w:rPr>
  </w:style>
  <w:style w:type="paragraph" w:customStyle="1" w:styleId="21">
    <w:name w:val="p0"/>
    <w:basedOn w:val="1"/>
    <w:qFormat/>
    <w:uiPriority w:val="0"/>
    <w:pPr>
      <w:widowControl/>
      <w:jc w:val="left"/>
    </w:pPr>
    <w:rPr>
      <w:rFonts w:ascii="Calibri" w:hAnsi="Calibri" w:cs="宋体"/>
      <w:kern w:val="0"/>
      <w:sz w:val="24"/>
    </w:rPr>
  </w:style>
  <w:style w:type="paragraph" w:customStyle="1" w:styleId="22">
    <w:name w:val="授权书和信息卡行距"/>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3">
    <w:name w:val="身份证明授权委托投标函等行距"/>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2025-03-31T09:17:56Z</dcterms:created>
  <dc:creator>Administrator</dc:creator>
  <cp:lastModifiedBy>月半弯</cp:lastModifiedBy>
  <dcterms:modified xsi:type="dcterms:W3CDTF">2025-03-31T09:18:04Z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eyJoZGlkIjoiODBkNTkzOWFkOGFhMjE1ZDYxZWQzYmJjMTc5YTI5ZGQiLCJ1c2VySWQiOiI1NTA3MjE5MjUifQ==</vt:lpwstr>
  </property>
  <property fmtid="{D5CDD505-2E9C-101B-9397-08002B2CF9AE}" pid="4" name="ICV">
    <vt:lpwstr>6DAC88F12A434B788F9DC599D2810A0B_12</vt:lpwstr>
  </property>
</Properties>
</file>